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4"/>
        <w:jc w:val="right"/>
        <w:rPr>
          <w:b/>
          <w:sz w:val="28"/>
          <w:szCs w:val="28"/>
        </w:rPr>
      </w:pPr>
      <w:r>
        <w:rPr>
          <w:b/>
          <w:sz w:val="28"/>
          <w:szCs w:val="28"/>
        </w:rPr>
        <w:drawing>
          <wp:anchor behindDoc="0" distT="0" distB="0" distL="0" distR="0" simplePos="0" locked="0" layoutInCell="1" allowOverlap="1" relativeHeight="2">
            <wp:simplePos x="0" y="0"/>
            <wp:positionH relativeFrom="column">
              <wp:posOffset>2414905</wp:posOffset>
            </wp:positionH>
            <wp:positionV relativeFrom="paragraph">
              <wp:posOffset>106045</wp:posOffset>
            </wp:positionV>
            <wp:extent cx="762000" cy="908685"/>
            <wp:effectExtent l="0" t="0" r="0" b="0"/>
            <wp:wrapNone/>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250" t="-200" r="-250" b="-200"/>
                    <a:stretch>
                      <a:fillRect/>
                    </a:stretch>
                  </pic:blipFill>
                  <pic:spPr bwMode="auto">
                    <a:xfrm>
                      <a:off x="0" y="0"/>
                      <a:ext cx="762000" cy="908685"/>
                    </a:xfrm>
                    <a:prstGeom prst="rect">
                      <a:avLst/>
                    </a:prstGeom>
                  </pic:spPr>
                </pic:pic>
              </a:graphicData>
            </a:graphic>
          </wp:anchor>
        </w:drawing>
      </w:r>
    </w:p>
    <w:tbl>
      <w:tblPr>
        <w:tblW w:w="9300" w:type="dxa"/>
        <w:jc w:val="left"/>
        <w:tblInd w:w="-108" w:type="dxa"/>
        <w:tblLayout w:type="fixed"/>
        <w:tblCellMar>
          <w:top w:w="0" w:type="dxa"/>
          <w:left w:w="0" w:type="dxa"/>
          <w:bottom w:w="0" w:type="dxa"/>
          <w:right w:w="0" w:type="dxa"/>
        </w:tblCellMar>
        <w:tblLook w:val="04a0"/>
      </w:tblPr>
      <w:tblGrid>
        <w:gridCol w:w="3611"/>
        <w:gridCol w:w="693"/>
        <w:gridCol w:w="505"/>
        <w:gridCol w:w="66"/>
        <w:gridCol w:w="4425"/>
      </w:tblGrid>
      <w:tr>
        <w:trPr>
          <w:trHeight w:val="1346" w:hRule="exact"/>
        </w:trPr>
        <w:tc>
          <w:tcPr>
            <w:tcW w:w="3611" w:type="dxa"/>
            <w:tcBorders/>
          </w:tcPr>
          <w:p>
            <w:pPr>
              <w:pStyle w:val="Style26"/>
              <w:widowControl w:val="false"/>
              <w:snapToGrid w:val="false"/>
              <w:rPr/>
            </w:pPr>
            <w:r>
              <w:rPr/>
            </w:r>
          </w:p>
        </w:tc>
        <w:tc>
          <w:tcPr>
            <w:tcW w:w="1198" w:type="dxa"/>
            <w:gridSpan w:val="2"/>
            <w:tcBorders/>
            <w:vAlign w:val="center"/>
          </w:tcPr>
          <w:p>
            <w:pPr>
              <w:pStyle w:val="Style24"/>
              <w:widowControl w:val="false"/>
              <w:snapToGrid w:val="false"/>
              <w:jc w:val="center"/>
              <w:rPr>
                <w:sz w:val="20"/>
              </w:rPr>
            </w:pPr>
            <w:r>
              <w:rPr>
                <w:sz w:val="20"/>
              </w:rPr>
            </w:r>
          </w:p>
          <w:p>
            <w:pPr>
              <w:pStyle w:val="Style24"/>
              <w:widowControl w:val="false"/>
              <w:jc w:val="center"/>
              <w:rPr>
                <w:sz w:val="20"/>
              </w:rPr>
            </w:pPr>
            <w:r>
              <w:rPr>
                <w:sz w:val="20"/>
              </w:rPr>
            </w:r>
          </w:p>
          <w:p>
            <w:pPr>
              <w:pStyle w:val="Normal"/>
              <w:widowControl w:val="false"/>
              <w:jc w:val="center"/>
              <w:rPr/>
            </w:pPr>
            <w:r>
              <w:rPr/>
            </w:r>
          </w:p>
        </w:tc>
        <w:tc>
          <w:tcPr>
            <w:tcW w:w="4491" w:type="dxa"/>
            <w:gridSpan w:val="2"/>
            <w:tcBorders/>
          </w:tcPr>
          <w:p>
            <w:pPr>
              <w:pStyle w:val="Normal"/>
              <w:widowControl w:val="false"/>
              <w:snapToGrid w:val="false"/>
              <w:rPr>
                <w:i/>
                <w:i/>
                <w:sz w:val="24"/>
                <w:szCs w:val="24"/>
              </w:rPr>
            </w:pPr>
            <w:r>
              <w:rPr>
                <w:i/>
                <w:sz w:val="24"/>
                <w:szCs w:val="24"/>
              </w:rPr>
            </w:r>
          </w:p>
        </w:tc>
      </w:tr>
      <w:tr>
        <w:trPr>
          <w:trHeight w:val="1213" w:hRule="atLeast"/>
        </w:trPr>
        <w:tc>
          <w:tcPr>
            <w:tcW w:w="4304" w:type="dxa"/>
            <w:gridSpan w:val="2"/>
            <w:tcBorders/>
          </w:tcPr>
          <w:p>
            <w:pPr>
              <w:pStyle w:val="Style17"/>
              <w:widowControl w:val="false"/>
              <w:snapToGrid w:val="false"/>
              <w:spacing w:before="0" w:after="0"/>
              <w:contextualSpacing/>
              <w:rPr>
                <w:b/>
                <w:sz w:val="26"/>
                <w:szCs w:val="26"/>
              </w:rPr>
            </w:pPr>
            <w:r>
              <w:rPr>
                <w:b/>
                <w:sz w:val="26"/>
                <w:szCs w:val="26"/>
              </w:rPr>
              <w:t xml:space="preserve">   </w:t>
            </w:r>
            <w:r>
              <w:rPr>
                <w:b/>
                <w:sz w:val="26"/>
                <w:szCs w:val="26"/>
              </w:rPr>
              <w:t>МАРИЙ ЭЛ РЕСПУБЛИКЫСЕ</w:t>
            </w:r>
          </w:p>
          <w:p>
            <w:pPr>
              <w:pStyle w:val="Style17"/>
              <w:widowControl w:val="false"/>
              <w:snapToGrid w:val="false"/>
              <w:spacing w:before="0" w:after="0"/>
              <w:contextualSpacing/>
              <w:jc w:val="center"/>
              <w:rPr/>
            </w:pPr>
            <w:r>
              <w:rPr>
                <w:b/>
                <w:sz w:val="26"/>
              </w:rPr>
              <w:t>КУЖЕНЕР</w:t>
            </w:r>
          </w:p>
          <w:p>
            <w:pPr>
              <w:pStyle w:val="Style17"/>
              <w:widowControl w:val="false"/>
              <w:snapToGrid w:val="false"/>
              <w:spacing w:before="0" w:after="0"/>
              <w:contextualSpacing/>
              <w:jc w:val="center"/>
              <w:rPr/>
            </w:pPr>
            <w:r>
              <w:rPr>
                <w:b/>
                <w:bCs/>
                <w:sz w:val="26"/>
              </w:rPr>
              <w:t xml:space="preserve"> </w:t>
            </w:r>
            <w:r>
              <w:rPr>
                <w:b/>
                <w:sz w:val="26"/>
              </w:rPr>
              <w:t>МУНИЦИПАЛ РАЙОНЫН АДМИНИСТРАЦИЙЖЕ</w:t>
            </w:r>
          </w:p>
          <w:p>
            <w:pPr>
              <w:pStyle w:val="Style24"/>
              <w:widowControl w:val="false"/>
              <w:spacing w:before="0" w:after="0"/>
              <w:contextualSpacing/>
              <w:jc w:val="center"/>
              <w:rPr/>
            </w:pPr>
            <w:r>
              <w:rPr/>
            </w:r>
          </w:p>
        </w:tc>
        <w:tc>
          <w:tcPr>
            <w:tcW w:w="571" w:type="dxa"/>
            <w:gridSpan w:val="2"/>
            <w:tcBorders/>
          </w:tcPr>
          <w:p>
            <w:pPr>
              <w:pStyle w:val="Normal"/>
              <w:widowControl w:val="false"/>
              <w:snapToGrid w:val="false"/>
              <w:rPr/>
            </w:pPr>
            <w:r>
              <w:rPr/>
            </w:r>
          </w:p>
        </w:tc>
        <w:tc>
          <w:tcPr>
            <w:tcW w:w="4425" w:type="dxa"/>
            <w:tcBorders/>
          </w:tcPr>
          <w:p>
            <w:pPr>
              <w:pStyle w:val="Style17"/>
              <w:widowControl w:val="false"/>
              <w:snapToGrid w:val="false"/>
              <w:spacing w:before="0" w:after="0"/>
              <w:contextualSpacing/>
              <w:jc w:val="center"/>
              <w:rPr/>
            </w:pPr>
            <w:r>
              <w:rPr>
                <w:b/>
                <w:sz w:val="26"/>
                <w:szCs w:val="26"/>
              </w:rPr>
              <w:t>АДМИНИСТРАЦИЯ</w:t>
            </w:r>
          </w:p>
          <w:p>
            <w:pPr>
              <w:pStyle w:val="211"/>
              <w:widowControl w:val="false"/>
              <w:spacing w:before="0" w:after="0"/>
              <w:contextualSpacing/>
              <w:jc w:val="center"/>
              <w:rPr/>
            </w:pPr>
            <w:r>
              <w:rPr>
                <w:b/>
                <w:sz w:val="26"/>
                <w:szCs w:val="26"/>
              </w:rPr>
              <w:t>КУЖЕНЕРСКОГО МУНИЦИПАЛЬНОГО РАЙОНА</w:t>
            </w:r>
          </w:p>
          <w:p>
            <w:pPr>
              <w:pStyle w:val="211"/>
              <w:widowControl w:val="false"/>
              <w:spacing w:before="0" w:after="0"/>
              <w:contextualSpacing/>
              <w:jc w:val="center"/>
              <w:rPr/>
            </w:pPr>
            <w:r>
              <w:rPr>
                <w:b/>
                <w:sz w:val="26"/>
                <w:szCs w:val="26"/>
              </w:rPr>
              <w:t>РЕСПУБЛИКИ МАРИЙ ЭЛ</w:t>
            </w:r>
          </w:p>
          <w:p>
            <w:pPr>
              <w:pStyle w:val="Normal"/>
              <w:widowControl w:val="false"/>
              <w:spacing w:before="0" w:after="0"/>
              <w:contextualSpacing/>
              <w:jc w:val="center"/>
              <w:rPr>
                <w:sz w:val="12"/>
              </w:rPr>
            </w:pPr>
            <w:r>
              <w:rPr>
                <w:sz w:val="12"/>
              </w:rPr>
            </w:r>
          </w:p>
        </w:tc>
      </w:tr>
      <w:tr>
        <w:trPr>
          <w:trHeight w:val="561" w:hRule="atLeast"/>
        </w:trPr>
        <w:tc>
          <w:tcPr>
            <w:tcW w:w="4304" w:type="dxa"/>
            <w:gridSpan w:val="2"/>
            <w:tcBorders/>
          </w:tcPr>
          <w:p>
            <w:pPr>
              <w:pStyle w:val="Normal"/>
              <w:widowControl w:val="false"/>
              <w:snapToGrid w:val="false"/>
              <w:spacing w:before="0" w:after="0"/>
              <w:contextualSpacing/>
              <w:jc w:val="center"/>
              <w:rPr/>
            </w:pPr>
            <w:r>
              <w:rPr>
                <w:b/>
              </w:rPr>
              <w:t>ПУНЧАЛ</w:t>
            </w:r>
          </w:p>
        </w:tc>
        <w:tc>
          <w:tcPr>
            <w:tcW w:w="571" w:type="dxa"/>
            <w:gridSpan w:val="2"/>
            <w:tcBorders/>
          </w:tcPr>
          <w:p>
            <w:pPr>
              <w:pStyle w:val="Normal"/>
              <w:widowControl w:val="false"/>
              <w:snapToGrid w:val="false"/>
              <w:spacing w:before="0" w:after="0"/>
              <w:contextualSpacing/>
              <w:rPr/>
            </w:pPr>
            <w:r>
              <w:rPr/>
            </w:r>
          </w:p>
        </w:tc>
        <w:tc>
          <w:tcPr>
            <w:tcW w:w="4425" w:type="dxa"/>
            <w:tcBorders/>
          </w:tcPr>
          <w:p>
            <w:pPr>
              <w:pStyle w:val="1"/>
              <w:widowControl w:val="false"/>
              <w:tabs>
                <w:tab w:val="clear" w:pos="708"/>
                <w:tab w:val="left" w:pos="0" w:leader="none"/>
              </w:tabs>
              <w:snapToGrid w:val="false"/>
              <w:spacing w:before="0" w:after="0"/>
              <w:ind w:left="0" w:hanging="0"/>
              <w:contextualSpacing/>
              <w:jc w:val="center"/>
              <w:rPr>
                <w:sz w:val="28"/>
                <w:szCs w:val="28"/>
              </w:rPr>
            </w:pPr>
            <w:r>
              <w:rPr>
                <w:sz w:val="28"/>
                <w:szCs w:val="28"/>
              </w:rPr>
              <w:t>ПОСТАНОВЛЕНИЕ</w:t>
            </w:r>
          </w:p>
        </w:tc>
      </w:tr>
      <w:tr>
        <w:trPr>
          <w:trHeight w:val="276" w:hRule="exact"/>
          <w:cantSplit w:val="true"/>
        </w:trPr>
        <w:tc>
          <w:tcPr>
            <w:tcW w:w="9300" w:type="dxa"/>
            <w:gridSpan w:val="5"/>
            <w:tcBorders/>
            <w:tcMar>
              <w:left w:w="108" w:type="dxa"/>
              <w:right w:w="108" w:type="dxa"/>
            </w:tcMar>
          </w:tcPr>
          <w:p>
            <w:pPr>
              <w:pStyle w:val="Normal"/>
              <w:widowControl w:val="false"/>
              <w:snapToGrid w:val="false"/>
              <w:jc w:val="center"/>
              <w:rPr>
                <w:b/>
                <w:bCs/>
                <w:sz w:val="24"/>
              </w:rPr>
            </w:pPr>
            <w:r>
              <w:rPr>
                <w:b/>
                <w:bCs/>
                <w:sz w:val="24"/>
              </w:rPr>
            </w:r>
          </w:p>
        </w:tc>
      </w:tr>
    </w:tbl>
    <w:p>
      <w:pPr>
        <w:pStyle w:val="Normal"/>
        <w:jc w:val="right"/>
        <w:rPr>
          <w:rFonts w:ascii="Times New Roman" w:hAnsi="Times New Roman" w:cs="Times New Roman"/>
          <w:b w:val="false"/>
          <w:sz w:val="28"/>
          <w:szCs w:val="28"/>
        </w:rPr>
      </w:pPr>
      <w:r>
        <w:rPr/>
      </w:r>
    </w:p>
    <w:p>
      <w:pPr>
        <w:pStyle w:val="ConsPlusTitle"/>
        <w:jc w:val="center"/>
        <w:rPr>
          <w:rFonts w:ascii="Times New Roman" w:hAnsi="Times New Roman" w:cs="Times New Roman"/>
          <w:b w:val="false"/>
          <w:sz w:val="28"/>
          <w:szCs w:val="28"/>
        </w:rPr>
      </w:pPr>
      <w:r>
        <w:rPr>
          <w:rFonts w:cs="Times New Roman" w:ascii="Times New Roman" w:hAnsi="Times New Roman"/>
          <w:b w:val="false"/>
          <w:sz w:val="28"/>
          <w:szCs w:val="28"/>
        </w:rPr>
        <w:t xml:space="preserve">От </w:t>
      </w:r>
      <w:r>
        <w:rPr>
          <w:rFonts w:cs="Times New Roman" w:ascii="Times New Roman" w:hAnsi="Times New Roman"/>
          <w:b w:val="false"/>
          <w:sz w:val="28"/>
          <w:szCs w:val="28"/>
        </w:rPr>
        <w:t>27</w:t>
      </w:r>
      <w:r>
        <w:rPr>
          <w:rFonts w:cs="Times New Roman" w:ascii="Times New Roman" w:hAnsi="Times New Roman"/>
          <w:b w:val="false"/>
          <w:sz w:val="28"/>
          <w:szCs w:val="28"/>
        </w:rPr>
        <w:t xml:space="preserve"> мая 2024г. № </w:t>
      </w:r>
      <w:r>
        <w:rPr>
          <w:rFonts w:cs="Times New Roman" w:ascii="Times New Roman" w:hAnsi="Times New Roman"/>
          <w:b w:val="false"/>
          <w:sz w:val="28"/>
          <w:szCs w:val="28"/>
        </w:rPr>
        <w:t>195</w:t>
      </w:r>
    </w:p>
    <w:p>
      <w:pPr>
        <w:pStyle w:val="ConsPlusTitle"/>
        <w:jc w:val="center"/>
        <w:rPr>
          <w:rFonts w:ascii="Times New Roman" w:hAnsi="Times New Roman" w:cs="Times New Roman"/>
          <w:b w:val="false"/>
          <w:sz w:val="28"/>
          <w:szCs w:val="28"/>
        </w:rPr>
      </w:pPr>
      <w:r>
        <w:rPr>
          <w:rFonts w:cs="Times New Roman" w:ascii="Times New Roman" w:hAnsi="Times New Roman"/>
          <w:b w:val="false"/>
          <w:sz w:val="28"/>
          <w:szCs w:val="28"/>
        </w:rPr>
      </w:r>
    </w:p>
    <w:p>
      <w:pPr>
        <w:pStyle w:val="Normal"/>
        <w:tabs>
          <w:tab w:val="clear" w:pos="708"/>
          <w:tab w:val="left" w:pos="9356" w:leader="none"/>
        </w:tabs>
        <w:jc w:val="center"/>
        <w:rPr/>
      </w:pPr>
      <w:r>
        <w:rPr>
          <w:b/>
          <w:sz w:val="28"/>
          <w:szCs w:val="28"/>
        </w:rPr>
        <w:t>Об утверждении Положения о порядке и условиях заключения</w:t>
      </w:r>
    </w:p>
    <w:p>
      <w:pPr>
        <w:pStyle w:val="Normal"/>
        <w:tabs>
          <w:tab w:val="clear" w:pos="708"/>
          <w:tab w:val="left" w:pos="9356" w:leader="none"/>
        </w:tabs>
        <w:jc w:val="center"/>
        <w:rPr>
          <w:b/>
          <w:sz w:val="28"/>
          <w:szCs w:val="28"/>
        </w:rPr>
      </w:pPr>
      <w:r>
        <w:rPr>
          <w:b/>
          <w:sz w:val="28"/>
          <w:szCs w:val="28"/>
        </w:rPr>
        <w:t>соглашений о защите и поощрении капиталовложений со стороны</w:t>
      </w:r>
    </w:p>
    <w:p>
      <w:pPr>
        <w:pStyle w:val="Normal"/>
        <w:tabs>
          <w:tab w:val="clear" w:pos="708"/>
          <w:tab w:val="left" w:pos="9356" w:leader="none"/>
        </w:tabs>
        <w:jc w:val="center"/>
        <w:rPr/>
      </w:pPr>
      <w:r>
        <w:rPr>
          <w:b/>
          <w:sz w:val="28"/>
          <w:szCs w:val="28"/>
        </w:rPr>
        <w:t xml:space="preserve">Администрации Куженерского муниципального района </w:t>
      </w:r>
    </w:p>
    <w:p>
      <w:pPr>
        <w:pStyle w:val="Normal"/>
        <w:tabs>
          <w:tab w:val="clear" w:pos="708"/>
          <w:tab w:val="left" w:pos="9356" w:leader="none"/>
        </w:tabs>
        <w:jc w:val="center"/>
        <w:rPr>
          <w:b/>
          <w:sz w:val="28"/>
          <w:szCs w:val="28"/>
        </w:rPr>
      </w:pPr>
      <w:r>
        <w:rPr>
          <w:b/>
          <w:sz w:val="28"/>
          <w:szCs w:val="28"/>
        </w:rPr>
        <w:t>Республики Марий Эл</w:t>
      </w:r>
    </w:p>
    <w:p>
      <w:pPr>
        <w:pStyle w:val="ConsPlus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sz w:val="28"/>
          <w:szCs w:val="28"/>
        </w:rPr>
      </w:pPr>
      <w:r>
        <w:rPr>
          <w:sz w:val="28"/>
          <w:szCs w:val="28"/>
        </w:rPr>
        <w:t>В соответствии с частью 8 статьи 4 Федерального закона от 01.04.2020 г. № 69-ФЗ «О защите и поощрении  капиталовложений в Российской Федерации» (в редакции Федерального закона от 2 июля 2021 г. № 344-ФЗ «О внесении изменений в Федеральный закон «О защите и поощрении капиталовложений в Российской Федерации» и статью 15 Федерального закона «О контрактной системе в сфере закупок товаров, работ, услуг для обеспечения государственных и муниципальных нужд»), руководствуясь Уставом Куженерского муниципального района Республики Марий Эл, Администрация Куженерского муниципального района Республики Марий Эл п о с т а н о в л я е т:</w:t>
      </w:r>
    </w:p>
    <w:p>
      <w:pPr>
        <w:pStyle w:val="Normal"/>
        <w:shd w:val="clear" w:fill="FFFFFF"/>
        <w:ind w:firstLine="709"/>
        <w:jc w:val="both"/>
        <w:rPr>
          <w:sz w:val="28"/>
          <w:szCs w:val="28"/>
        </w:rPr>
      </w:pPr>
      <w:r>
        <w:rPr>
          <w:sz w:val="28"/>
          <w:szCs w:val="28"/>
        </w:rPr>
        <w:t xml:space="preserve">1. Определить </w:t>
      </w:r>
      <w:r>
        <w:rPr>
          <w:sz w:val="28"/>
          <w:szCs w:val="28"/>
          <w:lang w:val="ru-RU"/>
        </w:rPr>
        <w:t>А</w:t>
      </w:r>
      <w:r>
        <w:rPr>
          <w:sz w:val="28"/>
          <w:szCs w:val="28"/>
        </w:rPr>
        <w:t xml:space="preserve">дминистрацию </w:t>
      </w:r>
      <w:r>
        <w:rPr>
          <w:sz w:val="28"/>
          <w:szCs w:val="28"/>
        </w:rPr>
        <w:t>Куженер</w:t>
      </w:r>
      <w:r>
        <w:rPr>
          <w:sz w:val="28"/>
          <w:szCs w:val="28"/>
        </w:rPr>
        <w:t xml:space="preserve">ского муниципального района Республики Марий Эл уполномоченным органом местного самоуправления на реализацию положений Федерального закона от 01.04.2020 № 69-ФЗ «О защите и поощрении капиталовложений в Российской Федерации» на территории </w:t>
      </w:r>
      <w:r>
        <w:rPr>
          <w:sz w:val="28"/>
          <w:szCs w:val="28"/>
        </w:rPr>
        <w:t>Куженер</w:t>
      </w:r>
      <w:r>
        <w:rPr>
          <w:sz w:val="28"/>
          <w:szCs w:val="28"/>
        </w:rPr>
        <w:t>ского муниципального района Республики Марий Эл.</w:t>
      </w:r>
    </w:p>
    <w:p>
      <w:pPr>
        <w:pStyle w:val="ConsPlusNormal"/>
        <w:ind w:firstLine="709"/>
        <w:jc w:val="both"/>
        <w:rPr>
          <w:sz w:val="28"/>
          <w:szCs w:val="28"/>
        </w:rPr>
      </w:pPr>
      <w:r>
        <w:rPr>
          <w:rFonts w:cs="Times New Roman" w:ascii="Times New Roman" w:hAnsi="Times New Roman"/>
          <w:sz w:val="28"/>
          <w:szCs w:val="28"/>
        </w:rPr>
        <w:t xml:space="preserve">2. Утвердить Положение о порядке </w:t>
      </w:r>
      <w:r>
        <w:rPr>
          <w:rFonts w:cs="Times New Roman" w:ascii="Times New Roman" w:hAnsi="Times New Roman"/>
          <w:sz w:val="28"/>
          <w:szCs w:val="28"/>
        </w:rPr>
        <w:t>и</w:t>
      </w:r>
      <w:r>
        <w:rPr>
          <w:rFonts w:cs="Times New Roman" w:ascii="Times New Roman" w:hAnsi="Times New Roman"/>
          <w:sz w:val="28"/>
          <w:szCs w:val="28"/>
        </w:rPr>
        <w:t xml:space="preserve"> условиях заключения соглашений о защите и поощрении капиталовложений со стороны Администрации Куженерского муниципального района Республики Марий Эл.</w:t>
      </w:r>
    </w:p>
    <w:p>
      <w:pPr>
        <w:pStyle w:val="ConsPlusNormal"/>
        <w:ind w:firstLine="709"/>
        <w:jc w:val="both"/>
        <w:rPr>
          <w:sz w:val="28"/>
          <w:szCs w:val="28"/>
        </w:rPr>
      </w:pPr>
      <w:r>
        <w:rPr>
          <w:rFonts w:cs="Times New Roman" w:ascii="Times New Roman" w:hAnsi="Times New Roman"/>
          <w:sz w:val="28"/>
          <w:szCs w:val="28"/>
        </w:rPr>
        <w:t>3. Разместить настоящее постановление  на официальном сайте Администрации Куженерского муниципального района Республики Марий Эл в информационно-телекоммуникационной сети «Интернет».</w:t>
      </w:r>
    </w:p>
    <w:p>
      <w:pPr>
        <w:pStyle w:val="ConsPlusNormal"/>
        <w:ind w:firstLine="709"/>
        <w:jc w:val="both"/>
        <w:rPr>
          <w:sz w:val="28"/>
          <w:szCs w:val="28"/>
        </w:rPr>
      </w:pPr>
      <w:r>
        <w:rPr>
          <w:rFonts w:cs="Times New Roman" w:ascii="Times New Roman" w:hAnsi="Times New Roman"/>
          <w:sz w:val="28"/>
          <w:szCs w:val="28"/>
        </w:rPr>
        <w:t>4. Контроль за исполнением настоящего постановления возложить на первого заместителя главы Администрации Куженерского муниципального района Иванова М.Г.</w:t>
      </w:r>
    </w:p>
    <w:p>
      <w:pPr>
        <w:pStyle w:val="ConsPlusNormal"/>
        <w:ind w:firstLine="709"/>
        <w:jc w:val="both"/>
        <w:rPr>
          <w:sz w:val="28"/>
          <w:szCs w:val="28"/>
        </w:rPr>
      </w:pPr>
      <w:r>
        <w:rPr>
          <w:rFonts w:cs="Times New Roman" w:ascii="Times New Roman" w:hAnsi="Times New Roman"/>
          <w:sz w:val="28"/>
          <w:szCs w:val="28"/>
        </w:rPr>
        <w:t>5. Настоящее постановление вступает в силу со дня его подписания.</w:t>
      </w:r>
    </w:p>
    <w:p>
      <w:pPr>
        <w:pStyle w:val="Normal"/>
        <w:suppressAutoHyphens w:val="true"/>
        <w:rPr>
          <w:sz w:val="28"/>
          <w:szCs w:val="28"/>
        </w:rPr>
      </w:pPr>
      <w:r>
        <w:rPr>
          <w:sz w:val="28"/>
          <w:szCs w:val="28"/>
        </w:rPr>
      </w:r>
    </w:p>
    <w:p>
      <w:pPr>
        <w:pStyle w:val="Normal"/>
        <w:suppressAutoHyphens w:val="true"/>
        <w:rPr>
          <w:sz w:val="28"/>
          <w:szCs w:val="28"/>
        </w:rPr>
      </w:pPr>
      <w:r>
        <w:rPr>
          <w:sz w:val="28"/>
          <w:szCs w:val="28"/>
        </w:rPr>
      </w:r>
    </w:p>
    <w:p>
      <w:pPr>
        <w:pStyle w:val="Normal"/>
        <w:suppressAutoHyphens w:val="true"/>
        <w:rPr>
          <w:sz w:val="28"/>
          <w:szCs w:val="28"/>
        </w:rPr>
      </w:pPr>
      <w:bookmarkStart w:id="0" w:name="P27"/>
      <w:bookmarkEnd w:id="0"/>
      <w:r>
        <w:rPr>
          <w:sz w:val="28"/>
          <w:szCs w:val="28"/>
        </w:rPr>
        <w:t xml:space="preserve">Глава Администрации </w:t>
      </w:r>
    </w:p>
    <w:p>
      <w:pPr>
        <w:pStyle w:val="ConsPlusNormal"/>
        <w:ind w:firstLine="708"/>
        <w:rPr>
          <w:sz w:val="28"/>
          <w:szCs w:val="28"/>
        </w:rPr>
      </w:pPr>
      <w:r>
        <w:rPr>
          <w:rFonts w:cs="Times New Roman" w:ascii="Times New Roman" w:hAnsi="Times New Roman"/>
          <w:sz w:val="28"/>
          <w:szCs w:val="28"/>
        </w:rPr>
        <w:t xml:space="preserve">Куженерского </w:t>
      </w:r>
    </w:p>
    <w:p>
      <w:pPr>
        <w:pStyle w:val="ConsPlusNormal"/>
        <w:rPr>
          <w:sz w:val="28"/>
          <w:szCs w:val="28"/>
        </w:rPr>
      </w:pPr>
      <w:r>
        <w:rPr>
          <w:rFonts w:cs="Times New Roman" w:ascii="Times New Roman" w:hAnsi="Times New Roman"/>
          <w:sz w:val="28"/>
          <w:szCs w:val="28"/>
        </w:rPr>
        <w:t>муниципального района</w:t>
        <w:tab/>
        <w:tab/>
        <w:t xml:space="preserve">                                                 С.И.Михеев</w:t>
      </w:r>
    </w:p>
    <w:p>
      <w:pPr>
        <w:pStyle w:val="Normal"/>
        <w:ind w:left="4820" w:hanging="0"/>
        <w:jc w:val="center"/>
        <w:rPr>
          <w:sz w:val="28"/>
          <w:szCs w:val="28"/>
        </w:rPr>
      </w:pPr>
      <w:r>
        <w:rPr>
          <w:sz w:val="28"/>
          <w:szCs w:val="28"/>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r>
    </w:p>
    <w:p>
      <w:pPr>
        <w:pStyle w:val="Normal"/>
        <w:ind w:left="4820" w:hanging="0"/>
        <w:jc w:val="center"/>
        <w:rPr>
          <w:sz w:val="26"/>
          <w:szCs w:val="26"/>
        </w:rPr>
      </w:pPr>
      <w:r>
        <w:rPr>
          <w:sz w:val="26"/>
          <w:szCs w:val="26"/>
        </w:rPr>
        <w:t>УТВЕРЖДЕН</w:t>
      </w:r>
      <w:r>
        <w:rPr>
          <w:sz w:val="26"/>
          <w:szCs w:val="26"/>
        </w:rPr>
        <w:t>О</w:t>
      </w:r>
    </w:p>
    <w:p>
      <w:pPr>
        <w:pStyle w:val="Normal"/>
        <w:ind w:left="4820" w:hanging="0"/>
        <w:jc w:val="center"/>
        <w:rPr/>
      </w:pPr>
      <w:r>
        <w:rPr>
          <w:sz w:val="26"/>
          <w:szCs w:val="26"/>
        </w:rPr>
        <w:t>постановлением Администрации</w:t>
      </w:r>
    </w:p>
    <w:p>
      <w:pPr>
        <w:pStyle w:val="Normal"/>
        <w:ind w:left="4820" w:hanging="0"/>
        <w:jc w:val="center"/>
        <w:rPr>
          <w:sz w:val="26"/>
          <w:szCs w:val="26"/>
        </w:rPr>
      </w:pPr>
      <w:r>
        <w:rPr>
          <w:sz w:val="26"/>
          <w:szCs w:val="26"/>
        </w:rPr>
        <w:t xml:space="preserve">Куженерского муниципального района </w:t>
      </w:r>
    </w:p>
    <w:p>
      <w:pPr>
        <w:pStyle w:val="Normal"/>
        <w:ind w:left="4820" w:hanging="0"/>
        <w:jc w:val="center"/>
        <w:rPr>
          <w:sz w:val="26"/>
          <w:szCs w:val="26"/>
        </w:rPr>
      </w:pPr>
      <w:r>
        <w:rPr>
          <w:sz w:val="26"/>
          <w:szCs w:val="26"/>
        </w:rPr>
        <w:t>Республики Марий Эл</w:t>
      </w:r>
    </w:p>
    <w:p>
      <w:pPr>
        <w:pStyle w:val="Normal"/>
        <w:ind w:left="4820" w:hanging="0"/>
        <w:jc w:val="center"/>
        <w:rPr>
          <w:sz w:val="26"/>
          <w:szCs w:val="26"/>
        </w:rPr>
      </w:pPr>
      <w:r>
        <w:rPr>
          <w:sz w:val="26"/>
          <w:szCs w:val="26"/>
        </w:rPr>
        <w:t xml:space="preserve">от  </w:t>
      </w:r>
      <w:r>
        <w:rPr>
          <w:sz w:val="26"/>
          <w:szCs w:val="26"/>
        </w:rPr>
        <w:t>27</w:t>
      </w:r>
      <w:r>
        <w:rPr>
          <w:sz w:val="26"/>
          <w:szCs w:val="26"/>
        </w:rPr>
        <w:t xml:space="preserve"> мая 2024г № </w:t>
      </w:r>
      <w:r>
        <w:rPr>
          <w:sz w:val="26"/>
          <w:szCs w:val="26"/>
        </w:rPr>
        <w:t>195</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spacing w:lineRule="auto" w:line="360"/>
        <w:jc w:val="center"/>
        <w:rPr/>
      </w:pPr>
      <w:r>
        <w:rPr>
          <w:b/>
          <w:sz w:val="28"/>
          <w:szCs w:val="28"/>
        </w:rPr>
        <w:t>Положение</w:t>
      </w:r>
    </w:p>
    <w:p>
      <w:pPr>
        <w:pStyle w:val="Normal"/>
        <w:spacing w:lineRule="auto" w:line="240"/>
        <w:jc w:val="center"/>
        <w:rPr/>
      </w:pPr>
      <w:r>
        <w:rPr>
          <w:b/>
          <w:sz w:val="28"/>
          <w:szCs w:val="28"/>
        </w:rPr>
        <w:t>о порядке и условиях заключения соглашений о защите и поощрении капиталовложений со стороны Администрации Куженерского муниципального района Республики Марий Эл</w:t>
      </w:r>
    </w:p>
    <w:p>
      <w:pPr>
        <w:pStyle w:val="Normal"/>
        <w:spacing w:lineRule="auto" w:line="240"/>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pPr>
      <w:r>
        <w:rPr>
          <w:sz w:val="28"/>
          <w:szCs w:val="28"/>
          <w:lang w:eastAsia="en-US"/>
        </w:rPr>
        <w:t>1.Общие положения</w:t>
      </w:r>
    </w:p>
    <w:p>
      <w:pPr>
        <w:pStyle w:val="Normal"/>
        <w:jc w:val="center"/>
        <w:rPr>
          <w:sz w:val="28"/>
          <w:szCs w:val="28"/>
          <w:lang w:eastAsia="en-US"/>
        </w:rPr>
      </w:pPr>
      <w:r>
        <w:rPr>
          <w:sz w:val="28"/>
          <w:szCs w:val="28"/>
          <w:lang w:eastAsia="en-US"/>
        </w:rPr>
      </w:r>
    </w:p>
    <w:p>
      <w:pPr>
        <w:pStyle w:val="Normal"/>
        <w:shd w:val="clear" w:fill="FFFFFF"/>
        <w:spacing w:before="0" w:after="0"/>
        <w:ind w:firstLine="709"/>
        <w:contextualSpacing/>
        <w:jc w:val="both"/>
        <w:rPr/>
      </w:pPr>
      <w:r>
        <w:rPr>
          <w:sz w:val="28"/>
          <w:szCs w:val="28"/>
        </w:rPr>
        <w:t xml:space="preserve">1.1. </w:t>
      </w:r>
      <w:r>
        <w:rPr>
          <w:sz w:val="28"/>
          <w:szCs w:val="28"/>
          <w:shd w:fill="FFFFFF" w:val="clear"/>
        </w:rPr>
        <w:t>Настоящий Порядок разработан в соответствии с частью 8 статьи 4 Федерального закона от 1 апреля 2020 г. № 69-ФЗ «О защите и поощрении капиталовложений в Российской Федерации» (далее - Федеральный закон № 69-ФЗ) и устанавливает условия и порядок заключения соглашений о защите и поощрении капиталовложений со стороны Администрации Куженерского муниципального района Республики Марий Эл, выступающей от имени Куженерского муниципального района Республики Марий Эл (далее – Соглашение).</w:t>
      </w:r>
    </w:p>
    <w:p>
      <w:pPr>
        <w:pStyle w:val="Normal"/>
        <w:ind w:firstLine="709"/>
        <w:jc w:val="both"/>
        <w:rPr/>
      </w:pPr>
      <w:r>
        <w:rPr>
          <w:sz w:val="28"/>
          <w:szCs w:val="28"/>
          <w:lang w:eastAsia="en-US"/>
        </w:rPr>
        <w:t xml:space="preserve">1.2. Термины и определения, применяемые в настоящем Порядке, используются в значении, определенном </w:t>
      </w:r>
      <w:r>
        <w:rPr>
          <w:sz w:val="28"/>
          <w:szCs w:val="28"/>
          <w:shd w:fill="FFFFFF" w:val="clear"/>
        </w:rPr>
        <w:t>Федеральным законом № 69-ФЗ</w:t>
      </w:r>
      <w:r>
        <w:rPr>
          <w:sz w:val="28"/>
          <w:szCs w:val="28"/>
          <w:lang w:eastAsia="en-US"/>
        </w:rPr>
        <w:t>.</w:t>
      </w:r>
    </w:p>
    <w:p>
      <w:pPr>
        <w:pStyle w:val="Normal"/>
        <w:shd w:val="clear" w:fill="FFFFFF"/>
        <w:spacing w:before="0" w:after="0"/>
        <w:ind w:firstLine="709"/>
        <w:contextualSpacing/>
        <w:jc w:val="both"/>
        <w:rPr/>
      </w:pPr>
      <w:r>
        <w:rPr>
          <w:sz w:val="28"/>
          <w:szCs w:val="28"/>
          <w:lang w:eastAsia="en-US"/>
        </w:rPr>
        <w:t>1.3.</w:t>
      </w:r>
      <w:r>
        <w:rPr>
          <w:sz w:val="28"/>
          <w:szCs w:val="28"/>
        </w:rPr>
        <w:t xml:space="preserve"> К отношениям, возникающим в связи с заключением, изменением и расторжением Соглашения,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Федеральным законом № 69-ФЗ.</w:t>
      </w:r>
    </w:p>
    <w:p>
      <w:pPr>
        <w:pStyle w:val="Normal"/>
        <w:ind w:firstLine="709"/>
        <w:jc w:val="both"/>
        <w:rPr>
          <w:sz w:val="28"/>
          <w:szCs w:val="28"/>
        </w:rPr>
      </w:pPr>
      <w:r>
        <w:rPr>
          <w:sz w:val="28"/>
          <w:szCs w:val="28"/>
        </w:rPr>
        <w:t>1.4. Соглашение заключается не позднее 1 января 2030 года.</w:t>
      </w:r>
    </w:p>
    <w:p>
      <w:pPr>
        <w:pStyle w:val="ConsPlusNormal"/>
        <w:ind w:firstLine="709"/>
        <w:jc w:val="both"/>
        <w:rPr/>
      </w:pPr>
      <w:r>
        <w:rPr>
          <w:rFonts w:cs="Times New Roman" w:ascii="Times New Roman" w:hAnsi="Times New Roman"/>
          <w:sz w:val="28"/>
          <w:szCs w:val="28"/>
        </w:rPr>
        <w:t>1.5. Соглашение должно содержать следующие условия: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описание инвестиционного проекта, в том числе характеристики объектов недвижимого имущества и  (или) комплекса объектов движимого и недвижимого имущества, связанных между собой и подлежащих созданию (строительству) либо реконструкции и (или) модернизации а также характеристики товаров, работ, услуг или результатов интеллектуальной деятельности, производимых, выполняемых, оказываемых или создаваемых в результате реализации инвестиционного проекта, сведения об их предполагаемом объеме, технологические и экологические требования к ним;</w:t>
      </w:r>
    </w:p>
    <w:p>
      <w:pPr>
        <w:pStyle w:val="ConsPlusNormal"/>
        <w:ind w:firstLine="709"/>
        <w:jc w:val="both"/>
        <w:rPr>
          <w:rFonts w:ascii="Times New Roman" w:hAnsi="Times New Roman" w:cs="Times New Roman"/>
          <w:sz w:val="28"/>
          <w:szCs w:val="28"/>
        </w:rPr>
      </w:pPr>
      <w:bookmarkStart w:id="1" w:name="Par307"/>
      <w:bookmarkEnd w:id="1"/>
      <w:r>
        <w:rPr>
          <w:rFonts w:cs="Times New Roman" w:ascii="Times New Roman" w:hAnsi="Times New Roman"/>
          <w:sz w:val="28"/>
          <w:szCs w:val="28"/>
        </w:rPr>
        <w:t>2) указание на этапы реализации инвестиционного проекта, а также применительно к каждому такому этапу: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 срок получения разрешений и согласий, необходимых для реализации  соответствующего этапа инвестиционного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б) срок государственной регистрации прав, в том числе права на недвижимое имущество, а также срок государственной регистрации результатов интеллектуальной деятельности и (или) приравненных к ним средств индивидуализации (в применимых случаях);</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срок ввода в эксплуатацию объекта, создаваемого (строящегося) либо реконструируемого и (или) модернизируемого в рамках соответствующего этапа реализации инвестиционного проекта (в применимых случаях);</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2.1) срок осуществления капиталовложений в установленном объеме;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2.2) сроки осуществления иных мероприятий, определенных в соглашении о защите и поощрении капиталовложений;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 объем капиталовложений;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 объем планируемых к возмещению затрат, указанных в части 1 статьи 15 Федерального закона №69-ФЗ, и планируемые сроки их возмещения;</w:t>
      </w:r>
    </w:p>
    <w:p>
      <w:pPr>
        <w:pStyle w:val="Normal"/>
        <w:shd w:val="clear" w:fill="FFFFFF"/>
        <w:tabs>
          <w:tab w:val="clear" w:pos="708"/>
          <w:tab w:val="left" w:pos="851" w:leader="none"/>
        </w:tabs>
        <w:spacing w:before="0" w:after="0"/>
        <w:ind w:firstLine="709"/>
        <w:contextualSpacing/>
        <w:jc w:val="both"/>
        <w:rPr/>
      </w:pPr>
      <w:r>
        <w:rPr>
          <w:sz w:val="28"/>
          <w:szCs w:val="28"/>
        </w:rPr>
        <w:t>3) сведения о предельно допустимых отклонениях от параметров реализации инвестиционного проекта, указанных в пунктах 2- 2.2 настоящей части, в следующих пределах:</w:t>
      </w:r>
    </w:p>
    <w:p>
      <w:pPr>
        <w:pStyle w:val="Normal"/>
        <w:shd w:val="clear" w:fill="FFFFFF"/>
        <w:tabs>
          <w:tab w:val="clear" w:pos="708"/>
          <w:tab w:val="left" w:pos="851" w:leader="none"/>
        </w:tabs>
        <w:spacing w:before="0" w:after="0"/>
        <w:ind w:firstLine="709"/>
        <w:contextualSpacing/>
        <w:jc w:val="both"/>
        <w:rPr/>
      </w:pPr>
      <w:r>
        <w:rPr>
          <w:sz w:val="28"/>
          <w:szCs w:val="28"/>
        </w:rPr>
        <w:t>а)  25 процентов — в случае,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 а также в случае, указанном в пункте 2.1 настоящей части, если соглашение о защите и поощрении капиталовложений было заключено в порядке частной проектной инициативы (при этом объем вносимых организацией, реализующей проект, капиталовложений не может быть менее объемов, предусмотренных частью 4 статьи 9 Федерального закона № 69-ФЗ;</w:t>
      </w:r>
    </w:p>
    <w:p>
      <w:pPr>
        <w:pStyle w:val="Normal"/>
        <w:shd w:val="clear" w:fill="FFFFFF"/>
        <w:tabs>
          <w:tab w:val="clear" w:pos="708"/>
          <w:tab w:val="left" w:pos="851" w:leader="none"/>
        </w:tabs>
        <w:spacing w:before="0" w:after="0"/>
        <w:ind w:firstLine="709"/>
        <w:contextualSpacing/>
        <w:jc w:val="both"/>
        <w:rPr/>
      </w:pPr>
      <w:r>
        <w:rPr>
          <w:sz w:val="28"/>
          <w:szCs w:val="28"/>
        </w:rPr>
        <w:t>б) 40 процентов — в случаях, указанных в подпунктах «а» - «в» пункта 2 и пункте 2.2 настоящей части (значения предельно допустимых отклонений определяются в соответствии с порядком, установленным Правительством Российской Федерации);</w:t>
      </w:r>
    </w:p>
    <w:p>
      <w:pPr>
        <w:pStyle w:val="ConsPlusNormal"/>
        <w:ind w:firstLine="709"/>
        <w:jc w:val="both"/>
        <w:rPr/>
      </w:pPr>
      <w:r>
        <w:rPr>
          <w:rFonts w:cs="Times New Roman" w:ascii="Times New Roman" w:hAnsi="Times New Roman"/>
          <w:sz w:val="28"/>
          <w:szCs w:val="28"/>
        </w:rPr>
        <w:t xml:space="preserve">4) срок применения стабилизационной оговорки в пределах сроков, установленных </w:t>
      </w:r>
      <w:hyperlink w:anchor="Par323">
        <w:r>
          <w:rPr>
            <w:rStyle w:val="-"/>
            <w:rFonts w:cs="Times New Roman" w:ascii="Times New Roman" w:hAnsi="Times New Roman"/>
            <w:sz w:val="28"/>
            <w:szCs w:val="28"/>
          </w:rPr>
          <w:t>пунктами 10</w:t>
        </w:r>
      </w:hyperlink>
      <w:r>
        <w:rPr>
          <w:rFonts w:cs="Times New Roman" w:ascii="Times New Roman" w:hAnsi="Times New Roman"/>
          <w:sz w:val="28"/>
          <w:szCs w:val="28"/>
        </w:rPr>
        <w:t xml:space="preserve"> и </w:t>
      </w:r>
      <w:hyperlink w:anchor="Par327">
        <w:r>
          <w:rPr>
            <w:rStyle w:val="-"/>
            <w:rFonts w:cs="Times New Roman" w:ascii="Times New Roman" w:hAnsi="Times New Roman"/>
            <w:sz w:val="28"/>
            <w:szCs w:val="28"/>
          </w:rPr>
          <w:t>11</w:t>
        </w:r>
      </w:hyperlink>
      <w:r>
        <w:rPr>
          <w:rFonts w:cs="Times New Roman" w:ascii="Times New Roman" w:hAnsi="Times New Roman"/>
          <w:sz w:val="28"/>
          <w:szCs w:val="28"/>
        </w:rPr>
        <w:t xml:space="preserve"> статьи 10 Федерального закона № 69-ФЗ;</w:t>
      </w:r>
    </w:p>
    <w:p>
      <w:pPr>
        <w:pStyle w:val="ConsPlusNormal"/>
        <w:ind w:firstLine="709"/>
        <w:jc w:val="both"/>
        <w:rPr/>
      </w:pPr>
      <w:bookmarkStart w:id="2" w:name="Par315"/>
      <w:bookmarkEnd w:id="2"/>
      <w:r>
        <w:rPr>
          <w:rFonts w:cs="Times New Roman" w:ascii="Times New Roman" w:hAnsi="Times New Roman"/>
          <w:sz w:val="28"/>
          <w:szCs w:val="28"/>
        </w:rPr>
        <w:t xml:space="preserve">5) условия связанных договоров, в том числе сроки предоставления и объемы субсидий, бюджетных инвестиций, указанных в </w:t>
      </w:r>
      <w:hyperlink w:anchor="Par431">
        <w:r>
          <w:rPr>
            <w:rStyle w:val="-"/>
            <w:rFonts w:cs="Times New Roman" w:ascii="Times New Roman" w:hAnsi="Times New Roman"/>
            <w:sz w:val="28"/>
            <w:szCs w:val="28"/>
          </w:rPr>
          <w:t>пункте 1 части 1 статьи 14</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shd w:fill="FFFFFF" w:val="clear"/>
        </w:rPr>
        <w:t>№ 69-ФЗ</w:t>
      </w:r>
      <w:r>
        <w:rPr>
          <w:rFonts w:cs="Times New Roman" w:ascii="Times New Roman" w:hAnsi="Times New Roman"/>
          <w:sz w:val="28"/>
          <w:szCs w:val="28"/>
        </w:rPr>
        <w:t xml:space="preserve">, и (или) процентная ставка (порядок ее определения) по кредитному договору, указанному в </w:t>
      </w:r>
      <w:hyperlink w:anchor="Par432">
        <w:r>
          <w:rPr>
            <w:rStyle w:val="-"/>
            <w:rFonts w:cs="Times New Roman" w:ascii="Times New Roman" w:hAnsi="Times New Roman"/>
            <w:sz w:val="28"/>
            <w:szCs w:val="28"/>
          </w:rPr>
          <w:t>пункте 2 части 1 статьи 14</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shd w:fill="FFFFFF" w:val="clear"/>
        </w:rPr>
        <w:t>№ 69-ФЗ</w:t>
      </w:r>
      <w:r>
        <w:rPr>
          <w:rFonts w:cs="Times New Roman" w:ascii="Times New Roman" w:hAnsi="Times New Roman"/>
          <w:sz w:val="28"/>
          <w:szCs w:val="28"/>
        </w:rPr>
        <w:t xml:space="preserve">, а также сроки предоставления и объемы субсидий, указанных в </w:t>
      </w:r>
      <w:hyperlink w:anchor="Par441">
        <w:r>
          <w:rPr>
            <w:rStyle w:val="-"/>
            <w:rFonts w:cs="Times New Roman" w:ascii="Times New Roman" w:hAnsi="Times New Roman"/>
            <w:sz w:val="28"/>
            <w:szCs w:val="28"/>
          </w:rPr>
          <w:t>пункте 2</w:t>
        </w:r>
        <w:r>
          <w:rPr>
            <w:rStyle w:val="-"/>
            <w:rFonts w:cs="Times New Roman" w:ascii="Times New Roman" w:hAnsi="Times New Roman"/>
            <w:color w:val="0000FF"/>
            <w:sz w:val="28"/>
            <w:szCs w:val="28"/>
          </w:rPr>
          <w:t xml:space="preserve"> </w:t>
        </w:r>
        <w:r>
          <w:rPr>
            <w:rStyle w:val="-"/>
            <w:rFonts w:cs="Times New Roman" w:ascii="Times New Roman" w:hAnsi="Times New Roman"/>
            <w:sz w:val="28"/>
            <w:szCs w:val="28"/>
          </w:rPr>
          <w:t>части 3 статьи 14</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shd w:fill="FFFFFF" w:val="clear"/>
        </w:rPr>
        <w:t>№ 69-ФЗ</w:t>
      </w:r>
      <w:r>
        <w:rPr>
          <w:rFonts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 указание на обязанность публично-правового образования (публично-правовых образований) осуществлять выплаты (обеспечить возмещение затрат) в пользу организации, реализующей проект, в объеме, не превышающем размера обязательных платежей, исчисленных организацией, реализующей проект, для уплаты в соответствующие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(за исключением случая, если Российская Федерация приняла на себя обязанность возместить организации, реализующей проект, убытки), а именно налога на прибыль организаций, налога на имущество организаций, транспортного налога, налога на добавленную стоимость (за вычетом налога, возмещенного организации, реализующей проект),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части 1 статьи 15 Федерального закона №69-ФЗ, в пределах земельного налога, исчисленного организацией, реализующей проект, для уплаты в местный бюджет), ввозных таможенных пошлин, акцизов на автомобили легковые и мотоциклы:</w:t>
      </w:r>
    </w:p>
    <w:p>
      <w:pPr>
        <w:pStyle w:val="ConsPlusNormal"/>
        <w:ind w:firstLine="709"/>
        <w:jc w:val="both"/>
        <w:rPr/>
      </w:pPr>
      <w:r>
        <w:rPr>
          <w:rFonts w:cs="Times New Roman" w:ascii="Times New Roman" w:hAnsi="Times New Roman"/>
          <w:sz w:val="28"/>
          <w:szCs w:val="28"/>
        </w:rPr>
        <w:t xml:space="preserve">а) на возмещение реального ущерба в соответствии с порядком, предусмотренным </w:t>
      </w:r>
      <w:hyperlink w:anchor="Par388">
        <w:r>
          <w:rPr>
            <w:rStyle w:val="-"/>
            <w:rFonts w:cs="Times New Roman" w:ascii="Times New Roman" w:hAnsi="Times New Roman"/>
            <w:sz w:val="28"/>
            <w:szCs w:val="28"/>
          </w:rPr>
          <w:t>статьей 12</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shd w:fill="FFFFFF" w:val="clear"/>
        </w:rPr>
        <w:t>№ 69-ФЗ</w:t>
      </w:r>
      <w:r>
        <w:rPr>
          <w:rFonts w:cs="Times New Roman" w:ascii="Times New Roman" w:hAnsi="Times New Roman"/>
          <w:sz w:val="28"/>
          <w:szCs w:val="28"/>
        </w:rPr>
        <w:t xml:space="preserve">, в том числе в случаях, предусмотренных </w:t>
      </w:r>
      <w:hyperlink w:anchor="Par439">
        <w:r>
          <w:rPr>
            <w:rStyle w:val="-"/>
            <w:rFonts w:cs="Times New Roman" w:ascii="Times New Roman" w:hAnsi="Times New Roman"/>
            <w:sz w:val="28"/>
            <w:szCs w:val="28"/>
          </w:rPr>
          <w:t>частью 3 статьи 14</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shd w:fill="FFFFFF" w:val="clear"/>
        </w:rPr>
        <w:t>№ 69-ФЗ</w:t>
      </w:r>
      <w:r>
        <w:rPr>
          <w:rFonts w:cs="Times New Roman" w:ascii="Times New Roman" w:hAnsi="Times New Roman"/>
          <w:sz w:val="28"/>
          <w:szCs w:val="28"/>
        </w:rPr>
        <w:t>;</w:t>
      </w:r>
    </w:p>
    <w:p>
      <w:pPr>
        <w:pStyle w:val="ConsPlusNormal"/>
        <w:ind w:firstLine="709"/>
        <w:jc w:val="both"/>
        <w:rPr/>
      </w:pPr>
      <w:r>
        <w:rPr>
          <w:rFonts w:cs="Times New Roman" w:ascii="Times New Roman" w:hAnsi="Times New Roman"/>
          <w:sz w:val="28"/>
          <w:szCs w:val="28"/>
        </w:rPr>
        <w:t xml:space="preserve">б) на возмещение понесенных затрат, предусмотренных </w:t>
      </w:r>
      <w:hyperlink w:anchor="Par446">
        <w:r>
          <w:rPr>
            <w:rStyle w:val="-"/>
            <w:rFonts w:cs="Times New Roman" w:ascii="Times New Roman" w:hAnsi="Times New Roman"/>
            <w:sz w:val="28"/>
            <w:szCs w:val="28"/>
          </w:rPr>
          <w:t>статьей 15</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shd w:fill="FFFFFF" w:val="clear"/>
        </w:rPr>
        <w:t>№ 69-ФЗ</w:t>
      </w:r>
      <w:r>
        <w:rPr>
          <w:rFonts w:cs="Times New Roman" w:ascii="Times New Roman" w:hAnsi="Times New Roman"/>
          <w:sz w:val="28"/>
          <w:szCs w:val="28"/>
        </w:rPr>
        <w:t xml:space="preserve"> (в случае, если публично-правовым образованием было принято решение о возмещении таких затрат);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7) порядок мониторинга, в том числе представления организацией, реализующей проект, информации об этапах реализации инвестиционного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8) порядок разрешения споров между сторонами соглашения о защите и поощрении капиталовложений;</w:t>
      </w:r>
    </w:p>
    <w:p>
      <w:pPr>
        <w:pStyle w:val="Normal"/>
        <w:shd w:val="clear" w:fill="FFFFFF"/>
        <w:spacing w:before="0" w:after="0"/>
        <w:contextualSpacing/>
        <w:jc w:val="both"/>
        <w:rPr/>
      </w:pPr>
      <w:r>
        <w:rPr>
          <w:sz w:val="28"/>
          <w:szCs w:val="28"/>
        </w:rPr>
        <w:t xml:space="preserve">9) иные условия, предусмотренные Федеральным законом </w:t>
      </w:r>
      <w:r>
        <w:rPr>
          <w:sz w:val="28"/>
          <w:szCs w:val="28"/>
          <w:shd w:fill="FFFFFF" w:val="clear"/>
        </w:rPr>
        <w:t>№ 69-ФЗ и типовой формой соглашения о защите и поощрении капиталовложений, утвержденной Правительством Российской Федерации</w:t>
      </w:r>
      <w:r>
        <w:rPr>
          <w:sz w:val="28"/>
          <w:szCs w:val="28"/>
        </w:rPr>
        <w:t>.</w:t>
      </w:r>
    </w:p>
    <w:p>
      <w:pPr>
        <w:pStyle w:val="Normal"/>
        <w:widowControl/>
        <w:shd w:val="clear" w:fill="FFFFFF"/>
        <w:suppressAutoHyphens w:val="true"/>
        <w:overflowPunct w:val="false"/>
        <w:bidi w:val="0"/>
        <w:spacing w:lineRule="auto" w:line="240" w:before="0" w:after="0"/>
        <w:ind w:left="0" w:right="0" w:firstLine="737"/>
        <w:contextualSpacing/>
        <w:jc w:val="both"/>
        <w:rPr/>
      </w:pPr>
      <w:r>
        <w:rPr>
          <w:sz w:val="28"/>
          <w:szCs w:val="28"/>
        </w:rPr>
        <w:t>1.6. Действие частей 1.1 - 1.3 и 3.4 статьи 6, части 3.1 статьи 7, пункта 2 части 4 статьи 9, пунктов 2 и 3 части 8, пунктов 1 и 1.1 части 10, части 10.1 статьи 10, пунктов 6 - 13 части 6, части 6.1 статьи 11, частей 29 - 31 статьи 16 Федерального закона от 1 апреля 2020 года № 69-ФЗ «О защите и поощрении капиталовложений в Российской Федерации» (в редакции Федерального закона от 2 июля 2021 г. № 344-ФЗ «О внесении изменений в Федеральный закон «О защите и поощрении капиталовложений в Российской Федерации» и статью 15 Федерального закона «О контрактной системе в сфере закупок товаров, работ, услуг для обеспечения государственных и муниципальных нужд») распространяется на отношения, возникшие из соглашений о защите и поощрении капиталовложений, заключенных до дня вступления в силу Федерального закона от 2 июля 2021 г. № 344-ФЗ «О внесении изменений в Федеральный закон «О защите и поощрении капиталовложений в Российской Федерации» и статью 15 Федерального закона «О контрактной системе в сфере закупок товаров, работ, услуг для обеспечения государственных и муниципальных нужд».</w:t>
      </w:r>
    </w:p>
    <w:p>
      <w:pPr>
        <w:pStyle w:val="Normal"/>
        <w:shd w:val="clear" w:fill="FFFFFF"/>
        <w:spacing w:before="0" w:after="0"/>
        <w:contextualSpacing/>
        <w:jc w:val="both"/>
        <w:rPr>
          <w:sz w:val="28"/>
          <w:szCs w:val="28"/>
        </w:rPr>
      </w:pPr>
      <w:r>
        <w:rPr>
          <w:sz w:val="28"/>
          <w:szCs w:val="28"/>
        </w:rPr>
      </w:r>
    </w:p>
    <w:p>
      <w:pPr>
        <w:pStyle w:val="Normal"/>
        <w:shd w:val="clear" w:fill="FFFFFF"/>
        <w:spacing w:before="0" w:after="0"/>
        <w:contextualSpacing/>
        <w:jc w:val="center"/>
        <w:rPr/>
      </w:pPr>
      <w:r>
        <w:rPr>
          <w:sz w:val="28"/>
          <w:szCs w:val="28"/>
        </w:rPr>
        <w:t>2.Условия заключения Соглашения</w:t>
      </w:r>
    </w:p>
    <w:p>
      <w:pPr>
        <w:pStyle w:val="Normal"/>
        <w:shd w:val="clear" w:fill="FFFFFF"/>
        <w:spacing w:before="0" w:after="0"/>
        <w:contextualSpacing/>
        <w:jc w:val="center"/>
        <w:rPr>
          <w:sz w:val="28"/>
          <w:szCs w:val="28"/>
        </w:rPr>
      </w:pPr>
      <w:r>
        <w:rPr>
          <w:sz w:val="28"/>
          <w:szCs w:val="28"/>
        </w:rPr>
      </w:r>
    </w:p>
    <w:p>
      <w:pPr>
        <w:pStyle w:val="Normal"/>
        <w:shd w:val="clear" w:fill="FFFFFF"/>
        <w:tabs>
          <w:tab w:val="clear" w:pos="708"/>
          <w:tab w:val="left" w:pos="709" w:leader="none"/>
        </w:tabs>
        <w:ind w:firstLine="709"/>
        <w:jc w:val="both"/>
        <w:rPr/>
      </w:pPr>
      <w:r>
        <w:rPr>
          <w:sz w:val="28"/>
          <w:szCs w:val="28"/>
        </w:rPr>
        <w:t xml:space="preserve">2.1. По </w:t>
      </w:r>
      <w:r>
        <w:rPr>
          <w:sz w:val="28"/>
          <w:szCs w:val="28"/>
          <w:lang w:val="en-US"/>
        </w:rPr>
        <w:t>C</w:t>
      </w:r>
      <w:r>
        <w:rPr>
          <w:sz w:val="28"/>
          <w:szCs w:val="28"/>
        </w:rPr>
        <w:t xml:space="preserve">оглашению Администрация Куженерского муниципального района Республики Марий Эл, являющаяся его стороной, обязуется обеспечить организации, реализующей проект, неприменение в ее отношении актов (решений) органов местного самоуправления, при этом организация, реализующая проект, имеет право требовать неприменения таких актов (решений), указанных в частях 1-3,9 статьи 9 Федерального закона </w:t>
      </w:r>
      <w:r>
        <w:rPr>
          <w:sz w:val="28"/>
          <w:szCs w:val="28"/>
          <w:shd w:fill="FFFFFF" w:val="clear"/>
        </w:rPr>
        <w:t>№ 69-ФЗ</w:t>
      </w:r>
      <w:r>
        <w:rPr>
          <w:sz w:val="28"/>
          <w:szCs w:val="28"/>
        </w:rPr>
        <w:t xml:space="preserve"> при реализации инвестиционного проекта от Администрации Куженерского муниципального района Республики Марий Эл.</w:t>
      </w:r>
    </w:p>
    <w:p>
      <w:pPr>
        <w:pStyle w:val="Normal"/>
        <w:ind w:firstLine="709"/>
        <w:jc w:val="both"/>
        <w:rPr/>
      </w:pPr>
      <w:r>
        <w:rPr>
          <w:bCs/>
          <w:sz w:val="28"/>
          <w:szCs w:val="28"/>
        </w:rPr>
        <w:t>2.2.</w:t>
      </w:r>
      <w:r>
        <w:rPr>
          <w:sz w:val="28"/>
          <w:szCs w:val="28"/>
        </w:rPr>
        <w:t xml:space="preserve"> Администрация Куженерского муниципального района Республики Марий Эл может быть стороной </w:t>
      </w:r>
      <w:r>
        <w:rPr>
          <w:sz w:val="28"/>
          <w:szCs w:val="28"/>
          <w:lang w:val="en-US"/>
        </w:rPr>
        <w:t>C</w:t>
      </w:r>
      <w:r>
        <w:rPr>
          <w:sz w:val="28"/>
          <w:szCs w:val="28"/>
        </w:rPr>
        <w:t>оглашения, если одновременно стороной такого Соглашения является Республика Марий Эл, на территории которой  реализуется соответствующий инвестиционный проект.</w:t>
      </w:r>
    </w:p>
    <w:p>
      <w:pPr>
        <w:pStyle w:val="Normal"/>
        <w:shd w:val="clear" w:fill="FFFFFF"/>
        <w:ind w:firstLine="709"/>
        <w:jc w:val="both"/>
        <w:rPr/>
      </w:pPr>
      <w:r>
        <w:rPr>
          <w:bCs/>
          <w:sz w:val="28"/>
          <w:szCs w:val="28"/>
        </w:rPr>
        <w:t>2.3.</w:t>
      </w:r>
      <w:r>
        <w:rPr>
          <w:sz w:val="28"/>
          <w:szCs w:val="28"/>
        </w:rPr>
        <w:t xml:space="preserve">  Администрация Куженерского муниципального района Республики Марий Эл, заключившая </w:t>
      </w:r>
      <w:r>
        <w:rPr>
          <w:sz w:val="28"/>
          <w:szCs w:val="28"/>
          <w:lang w:val="en-US"/>
        </w:rPr>
        <w:t>C</w:t>
      </w:r>
      <w:r>
        <w:rPr>
          <w:sz w:val="28"/>
          <w:szCs w:val="28"/>
        </w:rPr>
        <w:t>оглашение,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проект.</w:t>
      </w:r>
    </w:p>
    <w:p>
      <w:pPr>
        <w:pStyle w:val="ConsPlusNormal"/>
        <w:ind w:firstLine="709"/>
        <w:jc w:val="both"/>
        <w:rPr/>
      </w:pPr>
      <w:r>
        <w:rPr>
          <w:rFonts w:cs="Times New Roman" w:ascii="Times New Roman" w:hAnsi="Times New Roman"/>
          <w:sz w:val="28"/>
          <w:szCs w:val="28"/>
        </w:rPr>
        <w:t>2.4.Соглашение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w:t>
      </w:r>
    </w:p>
    <w:p>
      <w:pPr>
        <w:pStyle w:val="Normal"/>
        <w:ind w:firstLine="709"/>
        <w:jc w:val="both"/>
        <w:rPr>
          <w:sz w:val="28"/>
          <w:szCs w:val="28"/>
          <w:lang w:eastAsia="en-US"/>
        </w:rPr>
      </w:pPr>
      <w:r>
        <w:rPr>
          <w:sz w:val="28"/>
          <w:szCs w:val="28"/>
          <w:lang w:eastAsia="en-US"/>
        </w:rPr>
        <w:t xml:space="preserve">1) игорный бизнес; </w:t>
      </w:r>
    </w:p>
    <w:p>
      <w:pPr>
        <w:pStyle w:val="Normal"/>
        <w:ind w:firstLine="709"/>
        <w:jc w:val="both"/>
        <w:rPr>
          <w:sz w:val="28"/>
          <w:szCs w:val="28"/>
          <w:lang w:eastAsia="en-US"/>
        </w:rPr>
      </w:pPr>
      <w:r>
        <w:rPr>
          <w:sz w:val="28"/>
          <w:szCs w:val="28"/>
          <w:lang w:eastAsia="en-US"/>
        </w:rPr>
        <w:t>2) производство табачных изделий, алкогольной продукции, жидкого топлива (ограничение неприменимо к жидкому топливу, полученному из угля, а также на установках вторичной переработки нефтяного сырья согласно перечню, утверждаемому Правительством Российской Федерации);</w:t>
      </w:r>
    </w:p>
    <w:p>
      <w:pPr>
        <w:pStyle w:val="Normal"/>
        <w:ind w:firstLine="709"/>
        <w:jc w:val="both"/>
        <w:rPr>
          <w:sz w:val="28"/>
          <w:szCs w:val="28"/>
          <w:lang w:eastAsia="en-US"/>
        </w:rPr>
      </w:pPr>
      <w:r>
        <w:rPr>
          <w:sz w:val="28"/>
          <w:szCs w:val="28"/>
          <w:lang w:eastAsia="en-US"/>
        </w:rPr>
        <w:t>3) добыча сырой нефти и природного газа, в том числе попутного нефтяного газа (ограничение неприменимо к инвестиционным проектам по сжижению природного газа);</w:t>
      </w:r>
    </w:p>
    <w:p>
      <w:pPr>
        <w:pStyle w:val="Normal"/>
        <w:ind w:firstLine="709"/>
        <w:jc w:val="both"/>
        <w:rPr>
          <w:sz w:val="28"/>
          <w:szCs w:val="28"/>
          <w:lang w:eastAsia="en-US"/>
        </w:rPr>
      </w:pPr>
      <w:r>
        <w:rPr>
          <w:sz w:val="28"/>
          <w:szCs w:val="28"/>
          <w:lang w:eastAsia="en-US"/>
        </w:rPr>
        <w:t>4) оптовая и розничная торговля;</w:t>
      </w:r>
    </w:p>
    <w:p>
      <w:pPr>
        <w:pStyle w:val="Normal"/>
        <w:ind w:firstLine="709"/>
        <w:jc w:val="both"/>
        <w:rPr>
          <w:sz w:val="28"/>
          <w:szCs w:val="28"/>
          <w:lang w:eastAsia="en-US"/>
        </w:rPr>
      </w:pPr>
      <w:r>
        <w:rPr>
          <w:sz w:val="28"/>
          <w:szCs w:val="28"/>
          <w:lang w:eastAsia="en-US"/>
        </w:rPr>
        <w:t>5) деятельность финансовых организаций, поднадзорных Центральному банку Российской Федерации (ограничение неприменимо к случаям выпуска ценных бумаг в целях финансирования инвестиционного проекта);</w:t>
      </w:r>
    </w:p>
    <w:p>
      <w:pPr>
        <w:pStyle w:val="Normal"/>
        <w:ind w:firstLine="709"/>
        <w:jc w:val="both"/>
        <w:rPr>
          <w:sz w:val="28"/>
          <w:szCs w:val="28"/>
          <w:lang w:eastAsia="en-US"/>
        </w:rPr>
      </w:pPr>
      <w:r>
        <w:rPr>
          <w:sz w:val="28"/>
          <w:szCs w:val="28"/>
          <w:lang w:eastAsia="en-US"/>
        </w:rPr>
        <w:t>6) создание (строительство) либо  реконструкция и (или) модернизация административно-деловых центров и торговых центров (комплексов) (кроме аэровокзалов (терминалов), а также многоквартирных домов, жилых домов (кроме строительства таких домов в соответствии с договором о комплексном развитии территории);</w:t>
      </w:r>
    </w:p>
    <w:p>
      <w:pPr>
        <w:pStyle w:val="Normal"/>
        <w:ind w:firstLine="709"/>
        <w:jc w:val="both"/>
        <w:rPr>
          <w:color w:val="000000"/>
        </w:rPr>
      </w:pPr>
      <w:r>
        <w:rPr>
          <w:color w:val="000000"/>
          <w:sz w:val="28"/>
          <w:szCs w:val="28"/>
        </w:rPr>
        <w:t>Инвестиционный проект относится:</w:t>
      </w:r>
    </w:p>
    <w:p>
      <w:pPr>
        <w:pStyle w:val="Normal"/>
        <w:ind w:firstLine="709"/>
        <w:jc w:val="both"/>
        <w:rPr>
          <w:color w:val="000000"/>
        </w:rPr>
      </w:pPr>
      <w:r>
        <w:rPr>
          <w:color w:val="000000"/>
          <w:sz w:val="28"/>
          <w:szCs w:val="28"/>
        </w:rPr>
        <w:t>1) к сфере здравоохранения,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медицинской деятельности в соответствии с Федеральным законом от 21 ноября 2011 года № 323-ФЗ «Об основах охраны здоровья граждан в Российской Федерации», в том числе на оснащение оборудованием, необходимым для осуществления медицинской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указанного вида деятельности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2) к сфере образования, если инвестиционный проект направлен на организацию осуществления образовательной деятельности, в том числе на создание (строительство) либо реконструкцию и (или) модернизацию объектов недвижимого имущества (в том числе общежитий (студенческих городков) для размещения иностранных и иногородних обучающихся, педагогических работников, научно-педагогических работников, научных работников и объектов недвижимого имущества, предназначенных для оказания услуг по организации отдыха и оздоровления детей, если такие объекты используются для осуществления образовательной деятельности), а также на оснащение оборудованием, необходимым для осуществления образовательной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указанного вида деятельности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3) к сфере культуры,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культурной деятельности или являющихся объектами культуры, в том числе на оснащение оборудованием, необходимым для осуществления культурной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указанных видов деятельности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4) к сфере физической культуры и спорта, если инвестиционный проект направлен на создание (строительство) либо реконструкцию и (или) модернизацию объектов спорта (объектов недвижимого имущества или комплексов недвижимого имущества, специально предназначенных для проведения физкультурных мероприятий и (или) спортивных мероприятий, включая спортивные сооружения), в том числе на оснащение оборудованием, необходимым для функционирования объектов спорта, или модернизацию такого оборудования, при условии, что на стадии эксплуатации ежегодная выручка организации, реализующей проект, от эксплуатации объектов спорта (в том числе от продажи входных билетов на официальные спортивные соревнования, иных документов, предоставляющих право на посещение таких соревнований)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5) к сфере цифровой экономики, если инвестиционный проект направлен на создание (строительство) либо реконструкцию и (или) модернизацию объектов инфраструктуры, предназначенных для передачи, обработки и хранения данных с помощью информационно-телекоммуникационных сетей, в том числе информационно-телекоммуникационной сети «Интернет», или направлен на достижение показателей, предусмотренных национальной программой в сфере цифровой экономики;</w:t>
      </w:r>
    </w:p>
    <w:p>
      <w:pPr>
        <w:pStyle w:val="Normal"/>
        <w:ind w:firstLine="709"/>
        <w:jc w:val="both"/>
        <w:rPr>
          <w:color w:val="000000"/>
        </w:rPr>
      </w:pPr>
      <w:r>
        <w:rPr>
          <w:color w:val="000000"/>
          <w:sz w:val="28"/>
          <w:szCs w:val="28"/>
        </w:rPr>
        <w:t>6) к сфере охраны окружающей среды, если инвестиционный проект направлен на реализацию мероприятий по снижению негативного воздействия на окружающую среду, указанных в пункте 4 статьи 17 Федерального закона от 10 января 2002 года № 7-ФЗ «Об охране окружающей среды», в том числе на создание (строительство) либо реконструкцию и (или) модернизацию объектов недвижимого имущества, оснащение оборудованием, необходимым для реализации таких мероприятий, или модернизацию такого оборудования;</w:t>
      </w:r>
    </w:p>
    <w:p>
      <w:pPr>
        <w:pStyle w:val="Normal"/>
        <w:ind w:firstLine="709"/>
        <w:jc w:val="both"/>
        <w:rPr>
          <w:color w:val="000000"/>
        </w:rPr>
      </w:pPr>
      <w:r>
        <w:rPr>
          <w:color w:val="000000"/>
          <w:sz w:val="28"/>
          <w:szCs w:val="28"/>
        </w:rPr>
        <w:t>7) к сфере сельского хозяйства, пищевой и перерабатывающей промышленности, если инвестиционный проект связан с деятельностью по производству, первичной и (или) последующей (промышленной) переработке сельскохозяйственной продукции и направлен на создание (строительство) либо реконструкцию и (или) модернизацию объектов недвижимого имущества, в том числе оснащение оборудованием, необходимым для осуществления соответствующей деятельности, или модернизацию такого оборудования, при условии, что на стадии эксплуатации ежегодная выручка организации, реализующей проект, от реализации сельскохозяйственной продукции составляет не менее 70 процентов от общей выручки, получаемой в связи с реализацией товаров, работ, услуг в рамках инвестиционного проекта;</w:t>
      </w:r>
    </w:p>
    <w:p>
      <w:pPr>
        <w:pStyle w:val="Normal"/>
        <w:ind w:firstLine="709"/>
        <w:jc w:val="both"/>
        <w:rPr>
          <w:color w:val="000000"/>
        </w:rPr>
      </w:pPr>
      <w:r>
        <w:rPr>
          <w:color w:val="000000"/>
          <w:sz w:val="28"/>
          <w:szCs w:val="28"/>
        </w:rPr>
        <w:t>8) к сфере обрабатывающего производства, если инвестиционный проект направлен на осуществление определенной на основании Общероссийского классификатора видов экономической деятельности совокупности видов экономической деятельности, относящихся к обрабатывающему производству (за исключением видов деятельности, относящихся к сфере пищевой и перерабатывающей промышленности), в том числе на создание (строительство) либо реконструкцию и (или) модернизацию объектов недвижимого имущества, оснащение оборудованием, необходимым для осуществления обрабатывающего производства, или модернизацию такого оборудования, при условии, что на стадии эксплуатации ежегодная выручка организации, реализующей проект, от деятельности, относящейся к обрабатывающему производству,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9) к сфере аэровокзалов (терминалов), если инвестиционный проект направлен на создание (строительство) либо реконструкцию и (или) модернизацию аэровокзалов (терминалов) при условии, что ежегодная выручка организации, реализующей проект, от эксплуатации аэровокзалов (терминалов)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10) к сфере общественного транспорта городского и пригородного сообщения, если инвестиционный проект направлен на создание либо реконструкцию и (или) модернизацию транспорта общего пользования, в том числе автомобильного транспорта и городского наземного электрического транспорта (за исключением легковых такси), метрополитена, монорельсового транспорта для осуществления перевозок пассажиров и багажа в городском и пригородном сообщении, создание (строительство) либо реконструкцию и (или) модернизацию объектов транспортной инфраструктуры, определяемых в соответствии с Федеральным законом от 9 февраля 2007 года № 16-ФЗ «О транспортной безопасности», необходимых для эксплуатации соответствующего вида транспорта, при условии, что ежегодная выручка организации, реализующей проект, от осуществления деятельности, связанной с эксплуатацией объектов общественного транспорта городского и пригородного сообщения и (или) перевозкой пассажиров и багажа,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11) к сфере транспортно-логистических центров, если инвестиционный проект направлен на создание (строительство) либо реконструкцию и (или) модернизацию комплекса связанных между собой объектов движимого и недвижимого имущества, предназначенного для оказания услуг по хранению и складской обработке товаров и (или) по организации перевозок грузов любыми видами транспорта и оформлению перевозочных документов, документов для таможенных целей и других документов, необходимых для осуществления перевозок грузов (экспедиционных услуг), в том числе услуг, оказываемых в морских и речных портах по перевалке и хранению товаров, перемещаемых через Государственную границу Российской Федерации, при условии, что ежегодная выручка организации, реализующей проект, от эксплуатации транспортно-логистического центра (в том числе от платы за обеспечение возможности осуществления экспедиционных услуг) составляет не менее 70 процентов от общей выручки, получаемой в связи с реализацией инвестиционного проекта;</w:t>
      </w:r>
    </w:p>
    <w:p>
      <w:pPr>
        <w:pStyle w:val="Normal"/>
        <w:ind w:firstLine="709"/>
        <w:jc w:val="both"/>
        <w:rPr>
          <w:color w:val="000000"/>
        </w:rPr>
      </w:pPr>
      <w:r>
        <w:rPr>
          <w:color w:val="000000"/>
          <w:sz w:val="28"/>
          <w:szCs w:val="28"/>
        </w:rPr>
        <w:t xml:space="preserve">12) к сфере туризма, если инвестиционный проект направлен на создание (строительство) либо реконструкцию и (или) модернизацию гостиниц и иных средств размещения, объектов санаторно-курортного лечения и отдыха, многофункциональных комплексов, предусматривающих номерной фонд гостиниц и иных средств размещения и (или) санаторно-курортных организаций, а также развлекательных и (или) спортивно-оздоровительных комплексов, и (или) горнолыжных трасс, и (или) горнолыжных комплексов с системами искусственного оснежения, в том числе на оснащение оборудованием, необходимым для функционирования объектов туристской индустрии, или модернизацию такого оборудования, при условии, что на стадии эксплуатации ежегодная выручка организации, реализующей проект, от указанных видов деятельности составляет не менее 70 процентов от общей выручки, получаемой в связи с реализацией инвестиционного проекта. </w:t>
      </w:r>
    </w:p>
    <w:p>
      <w:pPr>
        <w:pStyle w:val="Normal"/>
        <w:ind w:firstLine="709"/>
        <w:jc w:val="both"/>
        <w:rPr>
          <w:color w:val="000000"/>
        </w:rPr>
      </w:pPr>
      <w:r>
        <w:rPr>
          <w:color w:val="000000"/>
          <w:sz w:val="28"/>
          <w:szCs w:val="28"/>
          <w:lang w:eastAsia="en-US"/>
        </w:rPr>
        <w:t>Если инвестиционный проект, в отношении которого заключается соглашение о защите и поощрении капиталовложений, может быть отнесен к нескольким сферам и (или) к иным сферам экономики, то инвестиционный проект относится к той сфере, для которой пунктом 2 части 4 статьи 9 Федерального закона устанавливается наибольший минимальный объем капиталовложений. В случае, если инвестиционный проект относится к нескольким сферам экономики, устанавливающим одинаковый минимальный объем капиталовложений, то отнесение к сфере экономики осуществляется по указанию заявителя. В случае, если инвестиционный проект относится к нескольким сферам экономики, устанавливающим одинаковый минимальный объем капиталовложений, и при этом одной из таких сфер является сфера сельского хозяйства, пищевой и перерабатывающей промышленности, инвестиционный проект не может быть отнесен к сфере сельского хозяйства, пищевой и перерабатывающей промышленности.</w:t>
      </w:r>
    </w:p>
    <w:p>
      <w:pPr>
        <w:pStyle w:val="Normal"/>
        <w:ind w:firstLine="709"/>
        <w:jc w:val="both"/>
        <w:rPr>
          <w:color w:val="000000"/>
        </w:rPr>
      </w:pPr>
      <w:r>
        <w:rPr>
          <w:color w:val="000000"/>
          <w:sz w:val="28"/>
          <w:szCs w:val="28"/>
        </w:rPr>
        <w:t xml:space="preserve">К полномочиям </w:t>
      </w:r>
      <w:r>
        <w:rPr>
          <w:color w:val="000000"/>
          <w:sz w:val="28"/>
          <w:szCs w:val="28"/>
        </w:rPr>
        <w:t>А</w:t>
      </w:r>
      <w:r>
        <w:rPr>
          <w:color w:val="000000"/>
          <w:sz w:val="28"/>
          <w:szCs w:val="28"/>
        </w:rPr>
        <w:t xml:space="preserve">дминистрации </w:t>
      </w:r>
      <w:r>
        <w:rPr>
          <w:color w:val="000000"/>
          <w:sz w:val="28"/>
          <w:szCs w:val="28"/>
        </w:rPr>
        <w:t>Куженерского</w:t>
      </w:r>
      <w:r>
        <w:rPr>
          <w:color w:val="000000"/>
          <w:sz w:val="28"/>
          <w:szCs w:val="28"/>
        </w:rPr>
        <w:t xml:space="preserve"> муниципального района в случае, если </w:t>
      </w:r>
      <w:r>
        <w:rPr>
          <w:color w:val="000000"/>
          <w:sz w:val="28"/>
          <w:szCs w:val="28"/>
        </w:rPr>
        <w:t>Куженер</w:t>
      </w:r>
      <w:r>
        <w:rPr>
          <w:color w:val="000000"/>
          <w:sz w:val="28"/>
          <w:szCs w:val="28"/>
        </w:rPr>
        <w:t>ский муниципальный район является стороной соглашения о защите и поощрении капиталовложений, относятся:</w:t>
      </w:r>
    </w:p>
    <w:p>
      <w:pPr>
        <w:pStyle w:val="Normal"/>
        <w:ind w:firstLine="709"/>
        <w:jc w:val="both"/>
        <w:rPr>
          <w:color w:val="000000"/>
        </w:rPr>
      </w:pPr>
      <w:r>
        <w:rPr>
          <w:color w:val="000000"/>
          <w:sz w:val="28"/>
          <w:szCs w:val="28"/>
        </w:rPr>
        <w:t>1) осуществление мониторинга этапов реализации соглашения о защите и поощрении капиталовложений, включающего в себя проверку обстоятельств, указывающих на наличие оснований для расторжения соглашения о защите и поощрении капиталовложений;</w:t>
      </w:r>
    </w:p>
    <w:p>
      <w:pPr>
        <w:pStyle w:val="Normal"/>
        <w:ind w:firstLine="709"/>
        <w:jc w:val="both"/>
        <w:rPr>
          <w:color w:val="000000"/>
        </w:rPr>
      </w:pPr>
      <w:r>
        <w:rPr>
          <w:color w:val="000000"/>
          <w:sz w:val="28"/>
          <w:szCs w:val="28"/>
        </w:rPr>
        <w:t>2) формирование отчетов о реализации соответствующего этапа инвестиционного проекта и направление их в уполномоченный федеральный орган исполнительной власти;</w:t>
      </w:r>
    </w:p>
    <w:p>
      <w:pPr>
        <w:pStyle w:val="Normal"/>
        <w:ind w:firstLine="709"/>
        <w:jc w:val="both"/>
        <w:rPr>
          <w:color w:val="000000"/>
        </w:rPr>
      </w:pPr>
      <w:r>
        <w:rPr>
          <w:color w:val="000000"/>
          <w:sz w:val="28"/>
          <w:szCs w:val="28"/>
          <w:lang w:eastAsia="en-US"/>
        </w:rPr>
        <w:t>3) иные функции и полномочия, закрепленные Федеральным законом за уполномоченными органами местного самоуправления.</w:t>
      </w:r>
    </w:p>
    <w:p>
      <w:pPr>
        <w:pStyle w:val="Normal"/>
        <w:shd w:val="clear" w:fill="FFFFFF"/>
        <w:spacing w:before="0" w:after="0"/>
        <w:ind w:firstLine="709"/>
        <w:contextualSpacing/>
        <w:jc w:val="both"/>
        <w:rPr/>
      </w:pPr>
      <w:r>
        <w:rPr>
          <w:sz w:val="28"/>
          <w:szCs w:val="28"/>
        </w:rPr>
        <w:t>2.5. Соглашение заключается на основании частной проектной инициативы или публичной проектной инициативы при соблюдении условий, установленных статьей 6 Федерального Закона № 69-ФЗ.</w:t>
      </w:r>
    </w:p>
    <w:p>
      <w:pPr>
        <w:pStyle w:val="Normal"/>
        <w:shd w:val="clear" w:fill="FFFFFF"/>
        <w:tabs>
          <w:tab w:val="clear" w:pos="708"/>
          <w:tab w:val="left" w:pos="142" w:leader="none"/>
        </w:tabs>
        <w:spacing w:before="0" w:after="0"/>
        <w:ind w:firstLine="709"/>
        <w:contextualSpacing/>
        <w:jc w:val="both"/>
        <w:rPr/>
      </w:pPr>
      <w:r>
        <w:rPr>
          <w:sz w:val="28"/>
          <w:szCs w:val="28"/>
        </w:rPr>
        <w:t xml:space="preserve">2.6.Соглашение заключается Администрацией Куженерского муниципального района Республики Марий Эл в пределах средств, предусмотренных в бюджете Куженерского муниципального района Республики Марий Эл. Решение о заключении соглашения принимается в форме постановления Администрации Куженерского муниципального района Республики Марий Эл. </w:t>
      </w:r>
    </w:p>
    <w:p>
      <w:pPr>
        <w:pStyle w:val="Normal"/>
        <w:ind w:firstLine="709"/>
        <w:jc w:val="both"/>
        <w:rPr>
          <w:szCs w:val="28"/>
        </w:rPr>
      </w:pPr>
      <w:r>
        <w:rPr>
          <w:sz w:val="28"/>
          <w:szCs w:val="28"/>
        </w:rPr>
        <w:t>2.7 Условия (основания) отнесения инвестиционных проектов к одной из сфер российской экономики устанавливаются главой 2 Федерального закона № 69-ФЗ.</w:t>
      </w:r>
    </w:p>
    <w:p>
      <w:pPr>
        <w:pStyle w:val="Normal"/>
        <w:ind w:firstLine="709"/>
        <w:jc w:val="center"/>
        <w:rPr>
          <w:sz w:val="28"/>
          <w:szCs w:val="28"/>
          <w:lang w:eastAsia="en-US"/>
        </w:rPr>
      </w:pPr>
      <w:r>
        <w:rPr>
          <w:sz w:val="28"/>
          <w:szCs w:val="28"/>
          <w:lang w:eastAsia="en-US"/>
        </w:rPr>
      </w:r>
    </w:p>
    <w:p>
      <w:pPr>
        <w:pStyle w:val="Normal"/>
        <w:shd w:val="clear" w:fill="FFFFFF"/>
        <w:jc w:val="center"/>
        <w:rPr>
          <w:bCs/>
          <w:sz w:val="28"/>
          <w:szCs w:val="28"/>
        </w:rPr>
      </w:pPr>
      <w:r>
        <w:rPr/>
      </w:r>
    </w:p>
    <w:p>
      <w:pPr>
        <w:pStyle w:val="Normal"/>
        <w:shd w:val="clear" w:fill="FFFFFF"/>
        <w:jc w:val="center"/>
        <w:rPr/>
      </w:pPr>
      <w:r>
        <w:rPr>
          <w:bCs/>
          <w:sz w:val="28"/>
          <w:szCs w:val="28"/>
        </w:rPr>
        <w:t xml:space="preserve"> </w:t>
      </w:r>
      <w:r>
        <w:rPr>
          <w:bCs/>
          <w:sz w:val="28"/>
          <w:szCs w:val="28"/>
        </w:rPr>
        <w:t>3. Порядок заключения, изменения и расторжения</w:t>
      </w:r>
    </w:p>
    <w:p>
      <w:pPr>
        <w:pStyle w:val="Normal"/>
        <w:shd w:val="clear" w:fill="FFFFFF"/>
        <w:jc w:val="center"/>
        <w:rPr>
          <w:bCs/>
          <w:sz w:val="28"/>
          <w:szCs w:val="28"/>
        </w:rPr>
      </w:pPr>
      <w:r>
        <w:rPr>
          <w:bCs/>
          <w:sz w:val="28"/>
          <w:szCs w:val="28"/>
        </w:rPr>
        <w:t>соглашения о защите и поощрении капиталовложений</w:t>
      </w:r>
    </w:p>
    <w:p>
      <w:pPr>
        <w:pStyle w:val="Normal"/>
        <w:shd w:val="clear" w:fill="FFFFFF"/>
        <w:jc w:val="center"/>
        <w:rPr>
          <w:bCs/>
          <w:sz w:val="28"/>
          <w:szCs w:val="28"/>
        </w:rPr>
      </w:pPr>
      <w:r>
        <w:rPr>
          <w:bCs/>
          <w:sz w:val="28"/>
          <w:szCs w:val="28"/>
        </w:rPr>
      </w:r>
    </w:p>
    <w:p>
      <w:pPr>
        <w:pStyle w:val="Normal"/>
        <w:shd w:val="clear" w:fill="FFFFFF"/>
        <w:ind w:firstLine="709"/>
        <w:jc w:val="both"/>
        <w:rPr/>
      </w:pPr>
      <w:r>
        <w:rPr>
          <w:bCs/>
          <w:sz w:val="28"/>
          <w:szCs w:val="28"/>
        </w:rPr>
        <w:t>3.1</w:t>
      </w:r>
      <w:r>
        <w:rPr>
          <w:b/>
          <w:bCs/>
          <w:sz w:val="28"/>
          <w:szCs w:val="28"/>
        </w:rPr>
        <w:t>.</w:t>
      </w:r>
      <w:r>
        <w:rPr>
          <w:sz w:val="28"/>
          <w:szCs w:val="28"/>
        </w:rPr>
        <w:t xml:space="preserve"> Соглашение может заключаться с использованием государственной информационной системы в порядке, предусмотренном </w:t>
      </w:r>
      <w:hyperlink r:id="rId3">
        <w:r>
          <w:rPr>
            <w:rStyle w:val="-"/>
            <w:color w:val="000000"/>
            <w:sz w:val="28"/>
            <w:szCs w:val="28"/>
          </w:rPr>
          <w:t>статьями 7</w:t>
        </w:r>
      </w:hyperlink>
      <w:r>
        <w:rPr>
          <w:sz w:val="28"/>
          <w:szCs w:val="28"/>
        </w:rPr>
        <w:t>,</w:t>
      </w:r>
      <w:hyperlink r:id="rId4">
        <w:r>
          <w:rPr>
            <w:rStyle w:val="-"/>
            <w:color w:val="000000"/>
            <w:sz w:val="28"/>
            <w:szCs w:val="28"/>
          </w:rPr>
          <w:t>8</w:t>
        </w:r>
      </w:hyperlink>
      <w:r>
        <w:rPr>
          <w:sz w:val="28"/>
          <w:szCs w:val="28"/>
        </w:rPr>
        <w:t xml:space="preserve"> Федерального закона  № 69- ФЗ.</w:t>
      </w:r>
    </w:p>
    <w:p>
      <w:pPr>
        <w:pStyle w:val="Normal"/>
        <w:shd w:val="clear" w:fill="FFFFFF"/>
        <w:ind w:firstLine="709"/>
        <w:jc w:val="both"/>
        <w:rPr/>
      </w:pPr>
      <w:r>
        <w:rPr>
          <w:bCs/>
          <w:sz w:val="28"/>
          <w:szCs w:val="28"/>
        </w:rPr>
        <w:t>3.2.</w:t>
      </w:r>
      <w:r>
        <w:rPr>
          <w:sz w:val="28"/>
          <w:szCs w:val="28"/>
        </w:rPr>
        <w:t xml:space="preserve"> Для подписания Соглашения в государственной информационной системе используется электронная подпись.</w:t>
      </w:r>
    </w:p>
    <w:p>
      <w:pPr>
        <w:pStyle w:val="Normal"/>
        <w:shd w:val="clear" w:fill="FFFFFF"/>
        <w:ind w:firstLine="709"/>
        <w:jc w:val="both"/>
        <w:rPr/>
      </w:pPr>
      <w:r>
        <w:rPr>
          <w:bCs/>
          <w:sz w:val="28"/>
          <w:szCs w:val="28"/>
        </w:rPr>
        <w:t>3.3</w:t>
      </w:r>
      <w:r>
        <w:rPr>
          <w:b/>
          <w:bCs/>
          <w:sz w:val="28"/>
          <w:szCs w:val="28"/>
        </w:rPr>
        <w:t>.</w:t>
      </w:r>
      <w:r>
        <w:rPr>
          <w:sz w:val="28"/>
          <w:szCs w:val="28"/>
        </w:rPr>
        <w:t xml:space="preserve"> </w:t>
      </w:r>
      <w:r>
        <w:rPr>
          <w:sz w:val="28"/>
          <w:szCs w:val="28"/>
          <w:lang w:eastAsia="en-US"/>
        </w:rPr>
        <w:t>Соглашение (дополнительное соглашение к нему) подлежит включению в реестр соглашений не позднее пяти рабочих дней с даты подписания Администрацией Куженерский муниципальный район Республики Марий Эл.</w:t>
      </w:r>
    </w:p>
    <w:p>
      <w:pPr>
        <w:pStyle w:val="Normal"/>
        <w:shd w:val="clear" w:fill="FFFFFF"/>
        <w:ind w:firstLine="709"/>
        <w:jc w:val="both"/>
        <w:rPr/>
      </w:pPr>
      <w:r>
        <w:rPr>
          <w:bCs/>
          <w:sz w:val="28"/>
          <w:szCs w:val="28"/>
        </w:rPr>
        <w:t>3.4</w:t>
      </w:r>
      <w:r>
        <w:rPr>
          <w:sz w:val="28"/>
          <w:szCs w:val="28"/>
          <w:lang w:eastAsia="en-US"/>
        </w:rPr>
        <w:t>. Изменение условий Соглашения не допускается, за исключением  случаев, установленных частью 6 статьи 11 Федерального закона № 69-ФЗ.</w:t>
      </w:r>
    </w:p>
    <w:p>
      <w:pPr>
        <w:pStyle w:val="Normal"/>
        <w:ind w:firstLine="720"/>
        <w:jc w:val="both"/>
        <w:rPr/>
      </w:pPr>
      <w:r>
        <w:rPr>
          <w:rFonts w:eastAsia="Calibri"/>
          <w:sz w:val="28"/>
          <w:szCs w:val="28"/>
        </w:rPr>
        <w:t xml:space="preserve">3.5.Заявитель, намеренный внести изменения в Соглашение в случаях, предусмотренных </w:t>
      </w:r>
      <w:hyperlink r:id="rId5">
        <w:r>
          <w:rPr>
            <w:rStyle w:val="-"/>
            <w:rFonts w:eastAsia="Calibri"/>
            <w:sz w:val="28"/>
            <w:szCs w:val="28"/>
          </w:rPr>
          <w:t>пунктами 1</w:t>
        </w:r>
      </w:hyperlink>
      <w:r>
        <w:rPr>
          <w:rFonts w:eastAsia="Calibri"/>
          <w:sz w:val="28"/>
          <w:szCs w:val="28"/>
        </w:rPr>
        <w:t xml:space="preserve"> - 4, 6 - 13 части 6 статьи 11</w:t>
      </w:r>
      <w:r>
        <w:rPr>
          <w:sz w:val="28"/>
          <w:szCs w:val="28"/>
          <w:lang w:eastAsia="en-US"/>
        </w:rPr>
        <w:t xml:space="preserve"> Федерального закона № 69-ФЗ</w:t>
      </w:r>
      <w:r>
        <w:rPr>
          <w:rFonts w:eastAsia="Calibri"/>
          <w:sz w:val="28"/>
          <w:szCs w:val="28"/>
        </w:rPr>
        <w:t xml:space="preserve">, направляет в соответствии с правилами, предусмотренными </w:t>
      </w:r>
      <w:hyperlink r:id="rId6">
        <w:r>
          <w:rPr>
            <w:rStyle w:val="-"/>
            <w:rFonts w:eastAsia="Calibri"/>
            <w:sz w:val="28"/>
            <w:szCs w:val="28"/>
          </w:rPr>
          <w:t>частями 9</w:t>
        </w:r>
      </w:hyperlink>
      <w:r>
        <w:rPr>
          <w:rFonts w:eastAsia="Calibri"/>
          <w:sz w:val="28"/>
          <w:szCs w:val="28"/>
        </w:rPr>
        <w:t xml:space="preserve"> и </w:t>
      </w:r>
      <w:hyperlink r:id="rId7">
        <w:r>
          <w:rPr>
            <w:rStyle w:val="-"/>
            <w:rFonts w:eastAsia="Calibri"/>
            <w:sz w:val="28"/>
            <w:szCs w:val="28"/>
          </w:rPr>
          <w:t>10 статьи 7</w:t>
        </w:r>
      </w:hyperlink>
      <w:r>
        <w:rPr>
          <w:rFonts w:eastAsia="Calibri"/>
          <w:sz w:val="28"/>
          <w:szCs w:val="28"/>
        </w:rPr>
        <w:t xml:space="preserve">  Федерального закона </w:t>
      </w:r>
      <w:r>
        <w:rPr>
          <w:sz w:val="28"/>
          <w:szCs w:val="28"/>
          <w:lang w:eastAsia="en-US"/>
        </w:rPr>
        <w:t>№ 69-ФЗ</w:t>
      </w:r>
      <w:r>
        <w:rPr>
          <w:rFonts w:eastAsia="Calibri"/>
          <w:sz w:val="28"/>
          <w:szCs w:val="28"/>
        </w:rPr>
        <w:t>, в Администрацию Куженерского муниципального района Республики Марий Эл документы,  предусмотренные частью 7 статьи 11</w:t>
      </w:r>
      <w:r>
        <w:rPr>
          <w:sz w:val="28"/>
          <w:szCs w:val="28"/>
          <w:lang w:eastAsia="en-US"/>
        </w:rPr>
        <w:t xml:space="preserve"> Федерального закона № 69-ФЗ</w:t>
      </w:r>
      <w:r>
        <w:rPr>
          <w:rFonts w:eastAsia="Calibri"/>
          <w:sz w:val="28"/>
          <w:szCs w:val="28"/>
        </w:rPr>
        <w:t>.</w:t>
      </w:r>
    </w:p>
    <w:p>
      <w:pPr>
        <w:pStyle w:val="ConsPlusNormal"/>
        <w:ind w:firstLine="709"/>
        <w:jc w:val="both"/>
        <w:rPr/>
      </w:pPr>
      <w:r>
        <w:rPr>
          <w:rFonts w:cs="Times New Roman" w:ascii="Times New Roman" w:hAnsi="Times New Roman"/>
          <w:sz w:val="28"/>
          <w:szCs w:val="28"/>
        </w:rPr>
        <w:t>3.6. Соглашение может быть заключено с российским юридическим лицом, которое удовлетворяет следующим требованиям (далее - заявитель):</w:t>
      </w:r>
    </w:p>
    <w:p>
      <w:pPr>
        <w:pStyle w:val="ConsPlusNormal"/>
        <w:ind w:firstLine="709"/>
        <w:jc w:val="both"/>
        <w:rPr/>
      </w:pPr>
      <w:r>
        <w:rPr>
          <w:rFonts w:cs="Times New Roman" w:ascii="Times New Roman" w:hAnsi="Times New Roman"/>
          <w:sz w:val="28"/>
          <w:szCs w:val="28"/>
        </w:rPr>
        <w:t xml:space="preserve">1) заявитель отвечает признакам организации, реализующей проект, установленным </w:t>
      </w:r>
      <w:hyperlink r:id="rId8">
        <w:r>
          <w:rPr>
            <w:rStyle w:val="-"/>
            <w:rFonts w:cs="Times New Roman" w:ascii="Times New Roman" w:hAnsi="Times New Roman"/>
            <w:sz w:val="28"/>
            <w:szCs w:val="28"/>
          </w:rPr>
          <w:t>пунктом 8 части 1 статьи 2</w:t>
        </w:r>
      </w:hyperlink>
      <w:r>
        <w:rPr>
          <w:rFonts w:cs="Times New Roman" w:ascii="Times New Roman" w:hAnsi="Times New Roman"/>
          <w:sz w:val="28"/>
          <w:szCs w:val="28"/>
        </w:rPr>
        <w:t xml:space="preserve"> Федерального закона </w:t>
      </w:r>
      <w:r>
        <w:rPr>
          <w:rFonts w:cs="Times New Roman" w:ascii="Times New Roman" w:hAnsi="Times New Roman"/>
          <w:sz w:val="28"/>
          <w:szCs w:val="28"/>
          <w:lang w:eastAsia="en-US"/>
        </w:rPr>
        <w:t>№ 69-ФЗ</w:t>
      </w:r>
      <w:r>
        <w:rPr>
          <w:rFonts w:cs="Times New Roman" w:ascii="Times New Roman" w:hAnsi="Times New Roman"/>
          <w:sz w:val="28"/>
          <w:szCs w:val="28"/>
        </w:rPr>
        <w:t>;</w:t>
      </w:r>
    </w:p>
    <w:p>
      <w:pPr>
        <w:pStyle w:val="ConsPlusNormal"/>
        <w:ind w:firstLine="709"/>
        <w:jc w:val="both"/>
        <w:rPr/>
      </w:pPr>
      <w:r>
        <w:rPr>
          <w:rFonts w:cs="Times New Roman" w:ascii="Times New Roman" w:hAnsi="Times New Roman"/>
          <w:sz w:val="28"/>
          <w:szCs w:val="28"/>
        </w:rPr>
        <w:t>2) заявитель не находится в процессе ликвидации;</w:t>
      </w:r>
    </w:p>
    <w:p>
      <w:pPr>
        <w:pStyle w:val="ConsPlusNormal"/>
        <w:ind w:firstLine="709"/>
        <w:jc w:val="both"/>
        <w:rPr/>
      </w:pPr>
      <w:r>
        <w:rPr>
          <w:rFonts w:cs="Times New Roman" w:ascii="Times New Roman" w:hAnsi="Times New Roman"/>
          <w:sz w:val="28"/>
          <w:szCs w:val="28"/>
        </w:rPr>
        <w:t>3) в отношении заявителя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pPr>
        <w:pStyle w:val="Normal"/>
        <w:ind w:firstLine="709"/>
        <w:jc w:val="both"/>
        <w:rPr/>
      </w:pPr>
      <w:r>
        <w:rPr>
          <w:sz w:val="28"/>
          <w:szCs w:val="28"/>
        </w:rPr>
        <w:t>3.7. Для заключения соглашения в порядке частной проектной инициативы заявитель направляет в Администрацию Куженерского муниципального района Республики Марий Эл (далее – уполномоченная организация) заявление о заключении соглашения (далее - заявление), с прилагаемыми документами и материалами, указанными в пункте 3.8. настоящего Порядка (с описью).</w:t>
      </w:r>
      <w:r>
        <w:rPr>
          <w:rFonts w:eastAsia="Calibri"/>
          <w:sz w:val="28"/>
          <w:szCs w:val="28"/>
        </w:rPr>
        <w:t xml:space="preserve"> Форма заявления, а также требования к оформлению прилагаемых к нему документов и материалов устанавливаются Правительством Российской Федерации.</w:t>
      </w:r>
    </w:p>
    <w:p>
      <w:pPr>
        <w:pStyle w:val="ConsPlusNormal"/>
        <w:ind w:firstLine="709"/>
        <w:jc w:val="both"/>
        <w:rPr/>
      </w:pPr>
      <w:r>
        <w:rPr>
          <w:rFonts w:cs="Times New Roman" w:ascii="Times New Roman" w:hAnsi="Times New Roman"/>
          <w:sz w:val="28"/>
          <w:szCs w:val="28"/>
        </w:rPr>
        <w:t>3.8. К заявлению прилагаются документы и материалы, предусмотренные частью 7статьи 7</w:t>
      </w:r>
      <w:r>
        <w:rPr>
          <w:rFonts w:cs="Times New Roman" w:ascii="Times New Roman" w:hAnsi="Times New Roman"/>
          <w:sz w:val="28"/>
          <w:szCs w:val="28"/>
          <w:lang w:eastAsia="en-US"/>
        </w:rPr>
        <w:t xml:space="preserve"> Федерального закона № 69-ФЗ.</w:t>
      </w:r>
    </w:p>
    <w:p>
      <w:pPr>
        <w:pStyle w:val="Normal"/>
        <w:shd w:val="clear" w:fill="FFFFFF"/>
        <w:ind w:firstLine="709"/>
        <w:jc w:val="both"/>
        <w:rPr/>
      </w:pPr>
      <w:r>
        <w:rPr>
          <w:bCs/>
          <w:sz w:val="28"/>
          <w:szCs w:val="28"/>
        </w:rPr>
        <w:t>3.9.</w:t>
      </w:r>
      <w:r>
        <w:rPr>
          <w:sz w:val="28"/>
          <w:szCs w:val="28"/>
        </w:rPr>
        <w:t xml:space="preserve"> </w:t>
      </w:r>
      <w:r>
        <w:rPr>
          <w:sz w:val="28"/>
          <w:szCs w:val="28"/>
          <w:lang w:eastAsia="en-US"/>
        </w:rPr>
        <w:t xml:space="preserve">Администрация Куженерского муниципального района Республики Марий Эл рассматривает заявление, прилагаемые к нему документы и ходатайство заявителя в сроки, предусмотренные </w:t>
      </w:r>
      <w:hyperlink r:id="rId9">
        <w:r>
          <w:rPr>
            <w:rStyle w:val="-"/>
            <w:sz w:val="28"/>
            <w:szCs w:val="28"/>
            <w:lang w:eastAsia="en-US"/>
          </w:rPr>
          <w:t>частями 11</w:t>
        </w:r>
      </w:hyperlink>
      <w:r>
        <w:rPr>
          <w:sz w:val="28"/>
          <w:szCs w:val="28"/>
          <w:lang w:eastAsia="en-US"/>
        </w:rPr>
        <w:t xml:space="preserve"> и </w:t>
      </w:r>
      <w:hyperlink r:id="rId10">
        <w:r>
          <w:rPr>
            <w:rStyle w:val="-"/>
            <w:sz w:val="28"/>
            <w:szCs w:val="28"/>
            <w:lang w:eastAsia="en-US"/>
          </w:rPr>
          <w:t>12 статьи 7</w:t>
        </w:r>
      </w:hyperlink>
      <w:r>
        <w:rPr>
          <w:sz w:val="28"/>
          <w:szCs w:val="28"/>
          <w:lang w:eastAsia="en-US"/>
        </w:rPr>
        <w:t xml:space="preserve"> Федерального закона </w:t>
      </w:r>
      <w:r>
        <w:rPr>
          <w:sz w:val="28"/>
          <w:szCs w:val="28"/>
        </w:rPr>
        <w:t>от 01.04.2020 № 69-ФЗ</w:t>
      </w:r>
      <w:r>
        <w:rPr>
          <w:sz w:val="28"/>
          <w:szCs w:val="28"/>
          <w:lang w:eastAsia="en-US"/>
        </w:rPr>
        <w:t xml:space="preserve">, и отказывает заявителю в заключении с ним дополнительного соглашения к соглашению о защите и поощрении капиталовложений только при наличии оснований, предусмотренных частью 14 </w:t>
      </w:r>
      <w:hyperlink r:id="rId11">
        <w:r>
          <w:rPr>
            <w:rStyle w:val="-"/>
            <w:sz w:val="28"/>
            <w:szCs w:val="28"/>
            <w:lang w:eastAsia="en-US"/>
          </w:rPr>
          <w:t>статьи 7</w:t>
        </w:r>
      </w:hyperlink>
      <w:r>
        <w:rPr>
          <w:sz w:val="28"/>
          <w:szCs w:val="28"/>
          <w:lang w:eastAsia="en-US"/>
        </w:rPr>
        <w:t xml:space="preserve"> Федерального закона </w:t>
      </w:r>
      <w:r>
        <w:rPr>
          <w:sz w:val="28"/>
          <w:szCs w:val="28"/>
        </w:rPr>
        <w:t>№ 69-ФЗ</w:t>
      </w:r>
      <w:r>
        <w:rPr>
          <w:sz w:val="28"/>
          <w:szCs w:val="28"/>
          <w:lang w:eastAsia="en-US"/>
        </w:rPr>
        <w:t xml:space="preserve">, а в удовлетворении ходатайства заявителя - только при наличии оснований, предусмотренных </w:t>
      </w:r>
      <w:hyperlink r:id="rId12">
        <w:r>
          <w:rPr>
            <w:rStyle w:val="-"/>
            <w:sz w:val="28"/>
            <w:szCs w:val="28"/>
            <w:lang w:eastAsia="en-US"/>
          </w:rPr>
          <w:t>частями 16</w:t>
        </w:r>
      </w:hyperlink>
      <w:r>
        <w:rPr>
          <w:sz w:val="28"/>
          <w:szCs w:val="28"/>
          <w:lang w:eastAsia="en-US"/>
        </w:rPr>
        <w:t xml:space="preserve"> и </w:t>
      </w:r>
      <w:hyperlink r:id="rId13">
        <w:r>
          <w:rPr>
            <w:rStyle w:val="-"/>
            <w:sz w:val="28"/>
            <w:szCs w:val="28"/>
            <w:lang w:eastAsia="en-US"/>
          </w:rPr>
          <w:t>17</w:t>
        </w:r>
      </w:hyperlink>
      <w:r>
        <w:rPr>
          <w:sz w:val="28"/>
          <w:szCs w:val="28"/>
        </w:rPr>
        <w:t xml:space="preserve"> </w:t>
      </w:r>
      <w:hyperlink r:id="rId14">
        <w:r>
          <w:rPr>
            <w:rStyle w:val="-"/>
            <w:sz w:val="28"/>
            <w:szCs w:val="28"/>
            <w:lang w:eastAsia="en-US"/>
          </w:rPr>
          <w:t>статьи 7</w:t>
        </w:r>
      </w:hyperlink>
      <w:r>
        <w:rPr>
          <w:sz w:val="28"/>
          <w:szCs w:val="28"/>
          <w:lang w:eastAsia="en-US"/>
        </w:rPr>
        <w:t xml:space="preserve"> Федерального закона                    </w:t>
      </w:r>
      <w:r>
        <w:rPr>
          <w:sz w:val="28"/>
          <w:szCs w:val="28"/>
        </w:rPr>
        <w:t xml:space="preserve"> № 69-ФЗ.</w:t>
      </w:r>
    </w:p>
    <w:p>
      <w:pPr>
        <w:pStyle w:val="Normal"/>
        <w:shd w:val="clear" w:fill="FFFFFF"/>
        <w:ind w:firstLine="709"/>
        <w:jc w:val="both"/>
        <w:rPr/>
      </w:pPr>
      <w:r>
        <w:rPr>
          <w:bCs/>
          <w:sz w:val="28"/>
          <w:szCs w:val="28"/>
        </w:rPr>
        <w:t>3.10.</w:t>
      </w:r>
      <w:r>
        <w:rPr>
          <w:sz w:val="28"/>
          <w:szCs w:val="28"/>
        </w:rPr>
        <w:t xml:space="preserve"> </w:t>
      </w:r>
      <w:r>
        <w:rPr>
          <w:sz w:val="28"/>
          <w:szCs w:val="28"/>
          <w:lang w:eastAsia="en-US"/>
        </w:rPr>
        <w:t>Соглашение действует до полного исполнения сторонами своих обязанностей по нему, если иное не предусмотрено Федеральным законом</w:t>
      </w:r>
      <w:r>
        <w:rPr>
          <w:sz w:val="28"/>
          <w:szCs w:val="28"/>
        </w:rPr>
        <w:t xml:space="preserve">  № 69-ФЗ. </w:t>
      </w:r>
    </w:p>
    <w:p>
      <w:pPr>
        <w:pStyle w:val="Normal"/>
        <w:shd w:val="clear" w:fill="FFFFFF"/>
        <w:ind w:firstLine="709"/>
        <w:jc w:val="both"/>
        <w:rPr/>
      </w:pPr>
      <w:r>
        <w:rPr>
          <w:sz w:val="28"/>
          <w:szCs w:val="28"/>
          <w:lang w:eastAsia="en-US"/>
        </w:rPr>
        <w:t>3.11. Соглашение может быть прекращено в любое время по соглашению сторон, если это не нарушает условий связанного договора.</w:t>
      </w:r>
    </w:p>
    <w:p>
      <w:pPr>
        <w:pStyle w:val="Normal"/>
        <w:shd w:val="clear" w:fill="FFFFFF"/>
        <w:ind w:firstLine="709"/>
        <w:jc w:val="both"/>
        <w:rPr/>
      </w:pPr>
      <w:r>
        <w:rPr>
          <w:sz w:val="28"/>
          <w:szCs w:val="28"/>
          <w:shd w:fill="auto" w:val="clear"/>
          <w:lang w:eastAsia="en-US"/>
        </w:rPr>
        <w:t>3.12.</w:t>
      </w:r>
      <w:r>
        <w:rPr>
          <w:sz w:val="28"/>
          <w:szCs w:val="28"/>
          <w:lang w:eastAsia="en-US"/>
        </w:rPr>
        <w:t xml:space="preserve"> Администрация Куженерского муниципального района Республики Марий Эл, являющаяся стороной Соглашения, требует расторжения такого соглашения в порядке, предусмотренном </w:t>
      </w:r>
      <w:hyperlink w:anchor="Par116">
        <w:r>
          <w:rPr>
            <w:rStyle w:val="-"/>
            <w:sz w:val="28"/>
            <w:szCs w:val="28"/>
            <w:lang w:eastAsia="en-US"/>
          </w:rPr>
          <w:t>статьей 13</w:t>
        </w:r>
      </w:hyperlink>
      <w:r>
        <w:rPr>
          <w:sz w:val="28"/>
          <w:szCs w:val="28"/>
          <w:lang w:eastAsia="en-US"/>
        </w:rPr>
        <w:t xml:space="preserve"> Федерального закона </w:t>
      </w:r>
      <w:r>
        <w:rPr>
          <w:sz w:val="28"/>
          <w:szCs w:val="28"/>
        </w:rPr>
        <w:t xml:space="preserve"> № 69-ФЗ </w:t>
      </w:r>
      <w:r>
        <w:rPr>
          <w:sz w:val="28"/>
          <w:szCs w:val="28"/>
          <w:lang w:eastAsia="en-US"/>
        </w:rPr>
        <w:t>при выявлении любого из указанных обстоятельств, в том числе по результатам мониторинга, в отношении которого заключено соглашение о защите и поощрении капиталовложений:</w:t>
      </w:r>
    </w:p>
    <w:p>
      <w:pPr>
        <w:pStyle w:val="Normal"/>
        <w:shd w:val="clear" w:fill="FFFFFF"/>
        <w:ind w:firstLine="709"/>
        <w:jc w:val="both"/>
        <w:rPr/>
      </w:pPr>
      <w:r>
        <w:rPr>
          <w:sz w:val="28"/>
          <w:szCs w:val="28"/>
          <w:lang w:eastAsia="en-US"/>
        </w:rPr>
        <w:t>1) предоставление организацией, реализующей проект, недостоверных сведений при заключении или исполнении Соглашения;</w:t>
      </w:r>
    </w:p>
    <w:p>
      <w:pPr>
        <w:pStyle w:val="ConsPlusNormal"/>
        <w:ind w:firstLine="709"/>
        <w:jc w:val="both"/>
        <w:rPr/>
      </w:pPr>
      <w:r>
        <w:rPr>
          <w:rFonts w:cs="Times New Roman" w:ascii="Times New Roman" w:hAnsi="Times New Roman"/>
          <w:sz w:val="28"/>
          <w:szCs w:val="28"/>
          <w:lang w:eastAsia="en-US"/>
        </w:rPr>
        <w:t xml:space="preserve">2) </w:t>
      </w:r>
      <w:r>
        <w:rPr>
          <w:rFonts w:cs="Times New Roman" w:ascii="Times New Roman" w:hAnsi="Times New Roman"/>
          <w:sz w:val="28"/>
          <w:szCs w:val="28"/>
        </w:rPr>
        <w:t xml:space="preserve">не осуществление капиталовложений, предусмотренных условиями Соглашения, в течение более чем двух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w:t>
      </w:r>
      <w:hyperlink w:anchor="P210">
        <w:r>
          <w:rPr>
            <w:rStyle w:val="-"/>
            <w:rFonts w:cs="Times New Roman" w:ascii="Times New Roman" w:hAnsi="Times New Roman"/>
            <w:sz w:val="28"/>
            <w:szCs w:val="28"/>
          </w:rPr>
          <w:t>подпунктом "а" пункта 2 части 8 статьи 10</w:t>
        </w:r>
      </w:hyperlink>
      <w:r>
        <w:rPr>
          <w:rFonts w:cs="Times New Roman" w:ascii="Times New Roman" w:hAnsi="Times New Roman"/>
          <w:sz w:val="28"/>
          <w:szCs w:val="28"/>
        </w:rPr>
        <w:t xml:space="preserve"> </w:t>
      </w:r>
      <w:r>
        <w:rPr>
          <w:rFonts w:cs="Times New Roman" w:ascii="Times New Roman" w:hAnsi="Times New Roman"/>
          <w:sz w:val="28"/>
          <w:szCs w:val="28"/>
          <w:lang w:eastAsia="en-US"/>
        </w:rPr>
        <w:t>Федерального закона</w:t>
      </w:r>
      <w:r>
        <w:rPr>
          <w:rFonts w:cs="Times New Roman" w:ascii="Times New Roman" w:hAnsi="Times New Roman"/>
          <w:sz w:val="28"/>
          <w:szCs w:val="28"/>
        </w:rPr>
        <w:t xml:space="preserve"> № 69-ФЗ;</w:t>
      </w:r>
    </w:p>
    <w:p>
      <w:pPr>
        <w:pStyle w:val="ConsPlusNormal"/>
        <w:ind w:firstLine="709"/>
        <w:jc w:val="both"/>
        <w:rPr/>
      </w:pPr>
      <w:r>
        <w:rPr>
          <w:rFonts w:cs="Times New Roman" w:ascii="Times New Roman" w:hAnsi="Times New Roman"/>
          <w:sz w:val="28"/>
          <w:szCs w:val="28"/>
        </w:rPr>
        <w:t xml:space="preserve">3) не наступление отдельных юридических фактов, предусмотренных условиями Соглашения, в течение более чем двух лет по истечении предусмотренного соглашением срока, а также дополнительного срока, предоставленного в соответствии с </w:t>
      </w:r>
      <w:hyperlink w:anchor="P209">
        <w:r>
          <w:rPr>
            <w:rStyle w:val="-"/>
            <w:rFonts w:cs="Times New Roman" w:ascii="Times New Roman" w:hAnsi="Times New Roman"/>
            <w:sz w:val="28"/>
            <w:szCs w:val="28"/>
          </w:rPr>
          <w:t>пунктом 3 части 8 статьи 10</w:t>
        </w:r>
      </w:hyperlink>
      <w:r>
        <w:rPr>
          <w:rFonts w:cs="Times New Roman" w:ascii="Times New Roman" w:hAnsi="Times New Roman"/>
          <w:sz w:val="28"/>
          <w:szCs w:val="28"/>
        </w:rPr>
        <w:t xml:space="preserve"> </w:t>
      </w:r>
      <w:r>
        <w:rPr>
          <w:rFonts w:cs="Times New Roman" w:ascii="Times New Roman" w:hAnsi="Times New Roman"/>
          <w:sz w:val="28"/>
          <w:szCs w:val="28"/>
          <w:lang w:eastAsia="en-US"/>
        </w:rPr>
        <w:t xml:space="preserve">Федерального закона </w:t>
      </w:r>
      <w:r>
        <w:rPr>
          <w:rFonts w:cs="Times New Roman" w:ascii="Times New Roman" w:hAnsi="Times New Roman"/>
          <w:sz w:val="28"/>
          <w:szCs w:val="28"/>
        </w:rPr>
        <w:t>№ 69-ФЗ</w:t>
      </w:r>
      <w:r>
        <w:rPr>
          <w:rFonts w:cs="Times New Roman" w:ascii="Times New Roman" w:hAnsi="Times New Roman"/>
          <w:sz w:val="28"/>
          <w:szCs w:val="28"/>
          <w:lang w:eastAsia="en-US"/>
        </w:rPr>
        <w:t>,</w:t>
      </w:r>
      <w:r>
        <w:rPr>
          <w:rFonts w:cs="Times New Roman" w:ascii="Times New Roman" w:hAnsi="Times New Roman"/>
          <w:sz w:val="28"/>
          <w:szCs w:val="28"/>
        </w:rPr>
        <w:t xml:space="preserve">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инвестиционного проекта, в эксплуатацию и (или) отсутствие государственной регистрации результатов интеллектуальной деятельности и (или) приравненных к ним средств индивидуализации;</w:t>
      </w:r>
    </w:p>
    <w:p>
      <w:pPr>
        <w:pStyle w:val="Normal"/>
        <w:shd w:val="clear" w:fill="FFFFFF"/>
        <w:ind w:firstLine="709"/>
        <w:jc w:val="both"/>
        <w:rPr>
          <w:sz w:val="28"/>
          <w:szCs w:val="28"/>
          <w:lang w:eastAsia="en-US"/>
        </w:rPr>
      </w:pPr>
      <w:r>
        <w:rPr>
          <w:sz w:val="28"/>
          <w:szCs w:val="28"/>
          <w:lang w:eastAsia="en-US"/>
        </w:rPr>
        <w:t>4) 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p>
      <w:pPr>
        <w:pStyle w:val="Normal"/>
        <w:shd w:val="clear" w:fill="FFFFFF"/>
        <w:ind w:firstLine="709"/>
        <w:jc w:val="both"/>
        <w:rPr/>
      </w:pPr>
      <w:r>
        <w:rPr>
          <w:bCs/>
          <w:sz w:val="28"/>
          <w:szCs w:val="28"/>
        </w:rPr>
        <w:t>3.13</w:t>
      </w:r>
      <w:r>
        <w:rPr>
          <w:sz w:val="28"/>
          <w:szCs w:val="28"/>
        </w:rPr>
        <w:t>. А</w:t>
      </w:r>
      <w:r>
        <w:rPr>
          <w:sz w:val="28"/>
          <w:szCs w:val="28"/>
          <w:lang w:eastAsia="en-US"/>
        </w:rPr>
        <w:t>дминистрация Куженерского муниципального района Республики Марий Эл  являющаяся стороной Соглашения, отказывается от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w:t>
      </w:r>
    </w:p>
    <w:p>
      <w:pPr>
        <w:pStyle w:val="Normal"/>
        <w:shd w:val="clear" w:fill="FFFFFF"/>
        <w:ind w:firstLine="709"/>
        <w:jc w:val="both"/>
        <w:rPr/>
      </w:pPr>
      <w:r>
        <w:rPr>
          <w:sz w:val="28"/>
          <w:szCs w:val="28"/>
          <w:lang w:eastAsia="en-US"/>
        </w:rPr>
        <w:t xml:space="preserve">1) если в отношении организации, реализующей проект, открыто конкурсное производство в соответствии с Федеральным </w:t>
      </w:r>
      <w:hyperlink r:id="rId15">
        <w:r>
          <w:rPr>
            <w:rStyle w:val="-"/>
            <w:sz w:val="28"/>
            <w:szCs w:val="28"/>
            <w:lang w:eastAsia="en-US"/>
          </w:rPr>
          <w:t>законом</w:t>
        </w:r>
      </w:hyperlink>
      <w:r>
        <w:rPr>
          <w:sz w:val="28"/>
          <w:szCs w:val="28"/>
          <w:lang w:eastAsia="en-US"/>
        </w:rPr>
        <w:t xml:space="preserve"> от 26.10.2002 № 127-ФЗ «О несостоятельности (банкротстве)»;</w:t>
      </w:r>
    </w:p>
    <w:p>
      <w:pPr>
        <w:pStyle w:val="Normal"/>
        <w:shd w:val="clear" w:fill="FFFFFF"/>
        <w:ind w:firstLine="709"/>
        <w:jc w:val="both"/>
        <w:rPr>
          <w:sz w:val="28"/>
          <w:szCs w:val="28"/>
          <w:lang w:eastAsia="en-US"/>
        </w:rPr>
      </w:pPr>
      <w:r>
        <w:rPr>
          <w:sz w:val="28"/>
          <w:szCs w:val="28"/>
          <w:lang w:eastAsia="en-US"/>
        </w:rPr>
        <w:t>2) если принято решение о ликвидации организации, реализующей проект.</w:t>
      </w:r>
    </w:p>
    <w:p>
      <w:pPr>
        <w:pStyle w:val="Normal"/>
        <w:shd w:val="clear" w:fill="FFFFFF"/>
        <w:ind w:firstLine="709"/>
        <w:jc w:val="both"/>
        <w:rPr/>
      </w:pPr>
      <w:r>
        <w:rPr>
          <w:sz w:val="28"/>
          <w:szCs w:val="28"/>
          <w:lang w:eastAsia="en-US"/>
        </w:rPr>
        <w:t xml:space="preserve">3.14. Организация, реализующая проект, вправе потребовать расторжения Соглашения в порядке, предусмотренном </w:t>
      </w:r>
      <w:hyperlink w:anchor="Par116">
        <w:r>
          <w:rPr>
            <w:rStyle w:val="-"/>
            <w:sz w:val="28"/>
            <w:szCs w:val="28"/>
            <w:lang w:eastAsia="en-US"/>
          </w:rPr>
          <w:t>статьей 13</w:t>
        </w:r>
      </w:hyperlink>
      <w:r>
        <w:rPr>
          <w:sz w:val="28"/>
          <w:szCs w:val="28"/>
          <w:lang w:eastAsia="en-US"/>
        </w:rPr>
        <w:t xml:space="preserve"> Федерального закона </w:t>
      </w:r>
      <w:r>
        <w:rPr>
          <w:sz w:val="28"/>
          <w:szCs w:val="28"/>
        </w:rPr>
        <w:t>№ 69-ФЗ</w:t>
      </w:r>
      <w:r>
        <w:rPr>
          <w:sz w:val="28"/>
          <w:szCs w:val="28"/>
          <w:lang w:eastAsia="en-US"/>
        </w:rPr>
        <w:t>, в случае существенного нарушения его условий Администрацией Куженерского муниципального района Республики Марий Эл при условии, что такое требование организации, реализующей проект, не нарушает условий связанного договора.</w:t>
      </w:r>
    </w:p>
    <w:p>
      <w:pPr>
        <w:pStyle w:val="ConsPlusNormal"/>
        <w:ind w:firstLine="709"/>
        <w:jc w:val="both"/>
        <w:rPr/>
      </w:pPr>
      <w:r>
        <w:rPr>
          <w:rFonts w:cs="Times New Roman" w:ascii="Times New Roman" w:hAnsi="Times New Roman"/>
          <w:sz w:val="28"/>
          <w:szCs w:val="28"/>
        </w:rPr>
        <w:t xml:space="preserve">3.15. В случае изменения Соглашения обязательства считаются измененными с даты регистрации соответствующего дополнительного соглашения в реестре соглашений, а при изменении Соглашения в порядке, предусмотренном </w:t>
      </w:r>
      <w:hyperlink r:id="rId16">
        <w:r>
          <w:rPr>
            <w:rStyle w:val="-"/>
            <w:rFonts w:cs="Times New Roman" w:ascii="Times New Roman" w:hAnsi="Times New Roman"/>
            <w:sz w:val="28"/>
            <w:szCs w:val="28"/>
          </w:rPr>
          <w:t>статьей 13</w:t>
        </w:r>
      </w:hyperlink>
      <w:r>
        <w:rPr>
          <w:rFonts w:cs="Times New Roman" w:ascii="Times New Roman" w:hAnsi="Times New Roman"/>
          <w:sz w:val="28"/>
          <w:szCs w:val="28"/>
        </w:rPr>
        <w:t xml:space="preserve"> </w:t>
      </w:r>
      <w:r>
        <w:rPr>
          <w:rFonts w:cs="Times New Roman" w:ascii="Times New Roman" w:hAnsi="Times New Roman"/>
          <w:sz w:val="28"/>
          <w:szCs w:val="28"/>
          <w:lang w:eastAsia="en-US"/>
        </w:rPr>
        <w:t xml:space="preserve">Федерального закона </w:t>
      </w:r>
      <w:r>
        <w:rPr>
          <w:rFonts w:cs="Times New Roman" w:ascii="Times New Roman" w:hAnsi="Times New Roman"/>
          <w:sz w:val="28"/>
          <w:szCs w:val="28"/>
        </w:rPr>
        <w:t>№ 69-ФЗ, считаются измененными с момента вступления в законную силу решения суда об изменении такого соглашения или с даты, указанной в решении суда, вступившим в законную силу.</w:t>
      </w:r>
    </w:p>
    <w:p>
      <w:pPr>
        <w:pStyle w:val="ConsPlusNormal"/>
        <w:ind w:firstLine="709"/>
        <w:jc w:val="both"/>
        <w:rPr/>
      </w:pPr>
      <w:r>
        <w:rPr>
          <w:rFonts w:cs="Times New Roman" w:ascii="Times New Roman" w:hAnsi="Times New Roman"/>
          <w:sz w:val="28"/>
          <w:szCs w:val="28"/>
        </w:rPr>
        <w:t>3.16. В случае расторжения Соглашения по соглашению сторон, а также одностороннего отказа от Соглашения во внесудебном порядке в случаях, предусмотренных пунктом 3.13 настоящего Порядка, действие такого соглашения прекращается с даты регистрации в реестре соглашений соответствующего соглашения о расторжении Соглашения или уведомления о расторжении такого соглашения в одностороннем внесудебном порядке, направленных публично-правовым образованием для регистрации в реестре соглашений по истечении срока, указанного в части 14 настоящей статьи. В случае расторжения Соглашения в порядке, предусмотренном пунктами 3.12 и 3.</w:t>
      </w:r>
      <w:hyperlink r:id="rId17">
        <w:r>
          <w:rPr>
            <w:rStyle w:val="-"/>
            <w:rFonts w:cs="Times New Roman" w:ascii="Times New Roman" w:hAnsi="Times New Roman"/>
            <w:sz w:val="28"/>
            <w:szCs w:val="28"/>
          </w:rPr>
          <w:t>14 настоящего По</w:t>
        </w:r>
      </w:hyperlink>
      <w:r>
        <w:rPr>
          <w:rFonts w:cs="Times New Roman" w:ascii="Times New Roman" w:hAnsi="Times New Roman"/>
          <w:sz w:val="28"/>
          <w:szCs w:val="28"/>
        </w:rPr>
        <w:t>рядка, действие такого соглашения прекращается с момента вступления в законную силу решения суда о расторжении такого соглашения или с даты, указанной в решении суда, вступившем в законную силу.</w:t>
      </w:r>
    </w:p>
    <w:p>
      <w:pPr>
        <w:pStyle w:val="Normal"/>
        <w:shd w:val="clear" w:fill="FFFFFF"/>
        <w:ind w:firstLine="709"/>
        <w:jc w:val="both"/>
        <w:rPr/>
      </w:pPr>
      <w:r>
        <w:rPr>
          <w:bCs/>
          <w:sz w:val="28"/>
          <w:szCs w:val="28"/>
        </w:rPr>
        <w:t>3.17.</w:t>
      </w:r>
      <w:r>
        <w:rPr>
          <w:b/>
          <w:bCs/>
          <w:sz w:val="28"/>
          <w:szCs w:val="28"/>
        </w:rPr>
        <w:t xml:space="preserve"> </w:t>
      </w:r>
      <w:r>
        <w:rPr>
          <w:sz w:val="28"/>
          <w:szCs w:val="28"/>
          <w:lang w:eastAsia="en-US"/>
        </w:rPr>
        <w:t>Любые документы, исходящие от сторон соглашения и связанные с прекращением действия Соглашения, в том числе уведомления, могут подписываться электронной подписью и направляться сторонами указанного соглашения в электронной форме. В случае прекращения действия Соглашения в судебном порядке суд направляет судебный акт в Администрацию Куженерского муниципального района Республики Марий Эл. Информация об изменении или о прекращении действия Соглашения отражается в реестре соглашений.</w:t>
      </w:r>
    </w:p>
    <w:p>
      <w:pPr>
        <w:pStyle w:val="Normal"/>
        <w:shd w:val="clear" w:fill="FFFFFF"/>
        <w:ind w:firstLine="709"/>
        <w:jc w:val="center"/>
        <w:rPr>
          <w:sz w:val="28"/>
          <w:szCs w:val="28"/>
          <w:lang w:eastAsia="en-US"/>
        </w:rPr>
      </w:pPr>
      <w:r>
        <w:rPr>
          <w:sz w:val="28"/>
          <w:szCs w:val="28"/>
          <w:lang w:eastAsia="en-US"/>
        </w:rPr>
      </w:r>
    </w:p>
    <w:p>
      <w:pPr>
        <w:pStyle w:val="Normal"/>
        <w:shd w:val="clear" w:fill="FFFFFF"/>
        <w:jc w:val="center"/>
        <w:rPr/>
      </w:pPr>
      <w:r>
        <w:rPr>
          <w:sz w:val="28"/>
          <w:szCs w:val="28"/>
          <w:lang w:eastAsia="en-US"/>
        </w:rPr>
        <w:t xml:space="preserve"> </w:t>
      </w:r>
      <w:r>
        <w:rPr>
          <w:sz w:val="28"/>
          <w:szCs w:val="28"/>
          <w:lang w:eastAsia="en-US"/>
        </w:rPr>
        <w:t xml:space="preserve">4. </w:t>
      </w:r>
      <w:r>
        <w:rPr>
          <w:bCs/>
          <w:sz w:val="28"/>
          <w:szCs w:val="28"/>
          <w:lang w:eastAsia="en-US"/>
        </w:rPr>
        <w:t>Заключительные положения</w:t>
      </w:r>
    </w:p>
    <w:p>
      <w:pPr>
        <w:pStyle w:val="Normal"/>
        <w:shd w:val="clear" w:fill="FFFFFF"/>
        <w:jc w:val="center"/>
        <w:rPr>
          <w:bCs/>
          <w:sz w:val="28"/>
          <w:szCs w:val="28"/>
          <w:lang w:eastAsia="en-US"/>
        </w:rPr>
      </w:pPr>
      <w:r>
        <w:rPr>
          <w:bCs/>
          <w:sz w:val="28"/>
          <w:szCs w:val="28"/>
          <w:lang w:eastAsia="en-US"/>
        </w:rPr>
      </w:r>
    </w:p>
    <w:p>
      <w:pPr>
        <w:pStyle w:val="Normal"/>
        <w:numPr>
          <w:ilvl w:val="0"/>
          <w:numId w:val="0"/>
        </w:numPr>
        <w:ind w:left="0" w:firstLine="709"/>
        <w:jc w:val="both"/>
        <w:outlineLvl w:val="0"/>
        <w:rPr/>
      </w:pPr>
      <w:r>
        <w:rPr>
          <w:sz w:val="28"/>
          <w:szCs w:val="28"/>
        </w:rPr>
        <w:t>4.1</w:t>
      </w:r>
      <w:r>
        <w:rPr>
          <w:sz w:val="28"/>
          <w:szCs w:val="28"/>
          <w:lang w:eastAsia="en-US"/>
        </w:rPr>
        <w:t xml:space="preserve"> Положения об </w:t>
      </w:r>
      <w:r>
        <w:rPr>
          <w:bCs/>
          <w:sz w:val="28"/>
          <w:szCs w:val="28"/>
          <w:lang w:eastAsia="en-US"/>
        </w:rPr>
        <w:t xml:space="preserve">ответственности за нарушение условий Соглашения установлены статьей 12 </w:t>
      </w:r>
      <w:r>
        <w:rPr>
          <w:sz w:val="28"/>
          <w:szCs w:val="28"/>
          <w:lang w:eastAsia="en-US"/>
        </w:rPr>
        <w:t xml:space="preserve">Федерального закона </w:t>
      </w:r>
      <w:r>
        <w:rPr>
          <w:sz w:val="28"/>
          <w:szCs w:val="28"/>
        </w:rPr>
        <w:t>от 01.04.2020 № 69-ФЗ .</w:t>
      </w:r>
    </w:p>
    <w:p>
      <w:pPr>
        <w:pStyle w:val="Normal"/>
        <w:numPr>
          <w:ilvl w:val="0"/>
          <w:numId w:val="0"/>
        </w:numPr>
        <w:ind w:left="0" w:firstLine="709"/>
        <w:jc w:val="both"/>
        <w:outlineLvl w:val="0"/>
        <w:rPr/>
      </w:pPr>
      <w:r>
        <w:rPr>
          <w:sz w:val="28"/>
          <w:szCs w:val="28"/>
        </w:rPr>
        <w:t>4.2. Порядок</w:t>
      </w:r>
      <w:r>
        <w:rPr>
          <w:bCs/>
          <w:sz w:val="28"/>
          <w:szCs w:val="28"/>
          <w:lang w:eastAsia="en-US"/>
        </w:rPr>
        <w:t xml:space="preserve"> рассмотрения споров по Соглашению установлен статьей 13 </w:t>
      </w:r>
      <w:r>
        <w:rPr>
          <w:sz w:val="28"/>
          <w:szCs w:val="28"/>
          <w:lang w:eastAsia="en-US"/>
        </w:rPr>
        <w:t xml:space="preserve">Федерального закона </w:t>
      </w:r>
      <w:r>
        <w:rPr>
          <w:sz w:val="28"/>
          <w:szCs w:val="28"/>
        </w:rPr>
        <w:t>от 01.04.2020 № 69-ФЗ .</w:t>
      </w:r>
    </w:p>
    <w:p>
      <w:pPr>
        <w:pStyle w:val="Normal"/>
        <w:numPr>
          <w:ilvl w:val="0"/>
          <w:numId w:val="0"/>
        </w:numPr>
        <w:ind w:left="0" w:firstLine="709"/>
        <w:jc w:val="both"/>
        <w:outlineLvl w:val="0"/>
        <w:rPr/>
      </w:pPr>
      <w:r>
        <w:rPr>
          <w:sz w:val="28"/>
          <w:szCs w:val="28"/>
        </w:rPr>
        <w:t xml:space="preserve">4.3. Положения, касающиеся связанных договоров, определены статьей 14 </w:t>
      </w:r>
      <w:r>
        <w:rPr>
          <w:sz w:val="28"/>
          <w:szCs w:val="28"/>
          <w:lang w:eastAsia="en-US"/>
        </w:rPr>
        <w:t xml:space="preserve">Федерального закона </w:t>
      </w:r>
      <w:r>
        <w:rPr>
          <w:sz w:val="28"/>
          <w:szCs w:val="28"/>
        </w:rPr>
        <w:t>от 01.04.2020 № 69-ФЗ .</w:t>
      </w:r>
    </w:p>
    <w:p>
      <w:pPr>
        <w:pStyle w:val="Normal"/>
        <w:jc w:val="center"/>
        <w:rPr>
          <w:bCs/>
          <w:sz w:val="28"/>
          <w:szCs w:val="28"/>
          <w:lang w:eastAsia="en-US"/>
        </w:rPr>
      </w:pPr>
      <w:r>
        <w:rPr>
          <w:bCs/>
          <w:sz w:val="28"/>
          <w:szCs w:val="28"/>
          <w:lang w:eastAsia="en-US"/>
        </w:rPr>
      </w:r>
    </w:p>
    <w:p>
      <w:pPr>
        <w:pStyle w:val="Normal"/>
        <w:jc w:val="center"/>
        <w:rPr>
          <w:sz w:val="28"/>
          <w:szCs w:val="28"/>
        </w:rPr>
      </w:pPr>
      <w:r>
        <w:rPr>
          <w:rFonts w:cs="Times New Roman"/>
          <w:b/>
          <w:sz w:val="28"/>
          <w:szCs w:val="28"/>
        </w:rPr>
        <w:t>_________________</w:t>
      </w:r>
    </w:p>
    <w:sectPr>
      <w:type w:val="nextPage"/>
      <w:pgSz w:w="11906" w:h="16838"/>
      <w:pgMar w:left="1701" w:right="851" w:gutter="0" w:header="0" w:top="1425" w:footer="0"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lock Text" w:uiPriority="0"/>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67b2c"/>
    <w:pPr>
      <w:widowControl/>
      <w:suppressAutoHyphens w:val="true"/>
      <w:overflowPunct w:val="false"/>
      <w:bidi w:val="0"/>
      <w:spacing w:lineRule="auto" w:line="240" w:before="0" w:after="0"/>
      <w:jc w:val="left"/>
    </w:pPr>
    <w:rPr>
      <w:rFonts w:ascii="Times New Roman" w:hAnsi="Times New Roman" w:eastAsia="Times New Roman" w:cs="Times New Roman"/>
      <w:color w:val="auto"/>
      <w:kern w:val="0"/>
      <w:sz w:val="28"/>
      <w:szCs w:val="20"/>
      <w:lang w:val="ru-RU" w:eastAsia="ru-RU" w:bidi="ar-SA"/>
    </w:rPr>
  </w:style>
  <w:style w:type="paragraph" w:styleId="1">
    <w:name w:val="Heading 1"/>
    <w:basedOn w:val="Normal"/>
    <w:link w:val="11"/>
    <w:uiPriority w:val="9"/>
    <w:qFormat/>
    <w:rsid w:val="00cb6244"/>
    <w:pPr>
      <w:overflowPunct w:val="true"/>
      <w:spacing w:beforeAutospacing="1" w:afterAutospacing="1"/>
      <w:outlineLvl w:val="0"/>
    </w:pPr>
    <w:rPr>
      <w:b/>
      <w:bCs/>
      <w:kern w:val="2"/>
      <w:sz w:val="48"/>
      <w:szCs w:val="48"/>
    </w:rPr>
  </w:style>
  <w:style w:type="paragraph" w:styleId="2">
    <w:name w:val="Heading 2"/>
    <w:basedOn w:val="Normal"/>
    <w:next w:val="Normal"/>
    <w:link w:val="21"/>
    <w:uiPriority w:val="9"/>
    <w:semiHidden/>
    <w:unhideWhenUsed/>
    <w:qFormat/>
    <w:rsid w:val="00cb6244"/>
    <w:pPr>
      <w:keepNext w:val="true"/>
      <w:keepLines/>
      <w:overflowPunct w:val="true"/>
      <w:spacing w:lineRule="auto" w:line="276" w:before="200" w:after="0"/>
      <w:outlineLvl w:val="1"/>
    </w:pPr>
    <w:rPr>
      <w:rFonts w:ascii="Cambria" w:hAnsi="Cambria" w:eastAsia="" w:cs="" w:asciiTheme="majorHAnsi" w:cstheme="majorBidi" w:eastAsiaTheme="majorEastAsia" w:hAnsiTheme="majorHAnsi"/>
      <w:b/>
      <w:bCs/>
      <w:color w:val="4F81BD" w:themeColor="accent1"/>
      <w:sz w:val="26"/>
      <w:szCs w:val="26"/>
      <w:lang w:eastAsia="en-US"/>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cb6244"/>
    <w:rPr>
      <w:rFonts w:ascii="Times New Roman" w:hAnsi="Times New Roman" w:eastAsia="Times New Roman" w:cs="Times New Roman"/>
      <w:b/>
      <w:bCs/>
      <w:kern w:val="2"/>
      <w:sz w:val="48"/>
      <w:szCs w:val="48"/>
      <w:lang w:eastAsia="ru-RU"/>
    </w:rPr>
  </w:style>
  <w:style w:type="character" w:styleId="21" w:customStyle="1">
    <w:name w:val="Заголовок 2 Знак"/>
    <w:basedOn w:val="DefaultParagraphFont"/>
    <w:uiPriority w:val="9"/>
    <w:semiHidden/>
    <w:qFormat/>
    <w:rsid w:val="00cb6244"/>
    <w:rPr>
      <w:rFonts w:ascii="Cambria" w:hAnsi="Cambria" w:eastAsia="" w:cs="" w:asciiTheme="majorHAnsi" w:cstheme="majorBidi" w:eastAsiaTheme="majorEastAsia" w:hAnsiTheme="majorHAnsi"/>
      <w:b/>
      <w:bCs/>
      <w:color w:val="4F81BD" w:themeColor="accent1"/>
      <w:sz w:val="26"/>
      <w:szCs w:val="26"/>
    </w:rPr>
  </w:style>
  <w:style w:type="character" w:styleId="Style12" w:customStyle="1">
    <w:name w:val="Обычный (веб) Знак"/>
    <w:link w:val="NormalWeb"/>
    <w:uiPriority w:val="99"/>
    <w:qFormat/>
    <w:locked/>
    <w:rsid w:val="00cb6244"/>
    <w:rPr>
      <w:rFonts w:ascii="Times New Roman" w:hAnsi="Times New Roman" w:eastAsia="Times New Roman" w:cs="Times New Roman"/>
      <w:sz w:val="24"/>
      <w:szCs w:val="24"/>
      <w:lang w:eastAsia="ru-RU"/>
    </w:rPr>
  </w:style>
  <w:style w:type="character" w:styleId="Style13" w:customStyle="1">
    <w:name w:val="Текст выноски Знак"/>
    <w:basedOn w:val="DefaultParagraphFont"/>
    <w:link w:val="BalloonText"/>
    <w:uiPriority w:val="99"/>
    <w:semiHidden/>
    <w:qFormat/>
    <w:rsid w:val="00e67b2c"/>
    <w:rPr>
      <w:rFonts w:ascii="Tahoma" w:hAnsi="Tahoma" w:eastAsia="Times New Roman" w:cs="Tahoma"/>
      <w:sz w:val="16"/>
      <w:szCs w:val="16"/>
      <w:lang w:eastAsia="ru-RU"/>
    </w:rPr>
  </w:style>
  <w:style w:type="character" w:styleId="Style14" w:customStyle="1">
    <w:name w:val="Верхний колонтитул Знак"/>
    <w:basedOn w:val="DefaultParagraphFont"/>
    <w:semiHidden/>
    <w:qFormat/>
    <w:rsid w:val="00df506e"/>
    <w:rPr>
      <w:rFonts w:ascii="Times New Roman" w:hAnsi="Times New Roman" w:eastAsia="Times New Roman" w:cs="Times New Roman"/>
      <w:sz w:val="20"/>
      <w:szCs w:val="20"/>
      <w:lang w:eastAsia="ru-RU"/>
    </w:rPr>
  </w:style>
  <w:style w:type="character" w:styleId="-">
    <w:name w:val="Hyperlink"/>
    <w:rPr>
      <w:color w:val="000080"/>
      <w:u w:val="single"/>
    </w:rPr>
  </w:style>
  <w:style w:type="character" w:styleId="Style15">
    <w:name w:val="FollowedHyperlink"/>
    <w:rPr>
      <w:color w:val="800000"/>
      <w:u w:val="single"/>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NormalWeb">
    <w:name w:val="Normal (Web)"/>
    <w:basedOn w:val="Normal"/>
    <w:link w:val="Style12"/>
    <w:uiPriority w:val="99"/>
    <w:unhideWhenUsed/>
    <w:qFormat/>
    <w:rsid w:val="00cb6244"/>
    <w:pPr>
      <w:overflowPunct w:val="true"/>
      <w:spacing w:beforeAutospacing="1" w:afterAutospacing="1"/>
    </w:pPr>
    <w:rPr>
      <w:sz w:val="24"/>
      <w:szCs w:val="24"/>
    </w:rPr>
  </w:style>
  <w:style w:type="paragraph" w:styleId="ListParagraph">
    <w:name w:val="List Paragraph"/>
    <w:basedOn w:val="Normal"/>
    <w:uiPriority w:val="34"/>
    <w:qFormat/>
    <w:rsid w:val="00cb6244"/>
    <w:pPr>
      <w:overflowPunct w:val="true"/>
      <w:spacing w:lineRule="auto" w:line="276" w:before="0" w:after="200"/>
      <w:ind w:left="720" w:hanging="0"/>
      <w:contextualSpacing/>
    </w:pPr>
    <w:rPr>
      <w:rFonts w:ascii="Calibri" w:hAnsi="Calibri" w:eastAsia="Calibri" w:cs="" w:asciiTheme="minorHAnsi" w:cstheme="minorBidi" w:eastAsiaTheme="minorHAnsi" w:hAnsiTheme="minorHAnsi"/>
      <w:sz w:val="22"/>
      <w:szCs w:val="22"/>
      <w:lang w:eastAsia="en-US"/>
    </w:rPr>
  </w:style>
  <w:style w:type="paragraph" w:styleId="Style21">
    <w:name w:val="Index Heading"/>
    <w:basedOn w:val="Style16"/>
    <w:pPr/>
    <w:rPr/>
  </w:style>
  <w:style w:type="paragraph" w:styleId="Style22">
    <w:name w:val="TOC Heading"/>
    <w:basedOn w:val="1"/>
    <w:next w:val="Normal"/>
    <w:uiPriority w:val="39"/>
    <w:semiHidden/>
    <w:unhideWhenUsed/>
    <w:qFormat/>
    <w:rsid w:val="00cb6244"/>
    <w:pPr>
      <w:keepNext w:val="true"/>
      <w:keepLines/>
      <w:spacing w:lineRule="auto" w:line="276" w:beforeAutospacing="0" w:before="480" w:afterAutospacing="0" w:after="0"/>
      <w:outlineLvl w:val="9"/>
    </w:pPr>
    <w:rPr>
      <w:rFonts w:ascii="Cambria" w:hAnsi="Cambria" w:eastAsia="" w:cs="" w:asciiTheme="majorHAnsi" w:cstheme="majorBidi" w:eastAsiaTheme="majorEastAsia" w:hAnsiTheme="majorHAnsi"/>
      <w:color w:val="365F91" w:themeColor="accent1" w:themeShade="bf"/>
      <w:kern w:val="0"/>
      <w:sz w:val="28"/>
      <w:szCs w:val="28"/>
      <w:lang w:eastAsia="en-US"/>
    </w:rPr>
  </w:style>
  <w:style w:type="paragraph" w:styleId="BlockText">
    <w:name w:val="Block Text"/>
    <w:basedOn w:val="Normal"/>
    <w:semiHidden/>
    <w:unhideWhenUsed/>
    <w:qFormat/>
    <w:rsid w:val="00e67b2c"/>
    <w:pPr>
      <w:overflowPunct w:val="true"/>
      <w:ind w:left="567" w:right="4536" w:hanging="0"/>
    </w:pPr>
    <w:rPr>
      <w:szCs w:val="24"/>
    </w:rPr>
  </w:style>
  <w:style w:type="paragraph" w:styleId="BalloonText">
    <w:name w:val="Balloon Text"/>
    <w:basedOn w:val="Normal"/>
    <w:link w:val="Style13"/>
    <w:uiPriority w:val="99"/>
    <w:semiHidden/>
    <w:unhideWhenUsed/>
    <w:qFormat/>
    <w:rsid w:val="00e67b2c"/>
    <w:pPr/>
    <w:rPr>
      <w:rFonts w:ascii="Tahoma" w:hAnsi="Tahoma" w:cs="Tahoma"/>
      <w:sz w:val="16"/>
      <w:szCs w:val="16"/>
    </w:rPr>
  </w:style>
  <w:style w:type="paragraph" w:styleId="ConsPlusTitle" w:customStyle="1">
    <w:name w:val="ConsPlusTitle"/>
    <w:qFormat/>
    <w:rsid w:val="00df506e"/>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Style23">
    <w:name w:val="Колонтитул"/>
    <w:basedOn w:val="Normal"/>
    <w:qFormat/>
    <w:pPr/>
    <w:rPr/>
  </w:style>
  <w:style w:type="paragraph" w:styleId="Style24">
    <w:name w:val="Header"/>
    <w:basedOn w:val="Normal"/>
    <w:link w:val="Style14"/>
    <w:semiHidden/>
    <w:rsid w:val="00df506e"/>
    <w:pPr>
      <w:tabs>
        <w:tab w:val="clear" w:pos="708"/>
        <w:tab w:val="center" w:pos="4677" w:leader="none"/>
        <w:tab w:val="right" w:pos="9355" w:leader="none"/>
      </w:tabs>
      <w:overflowPunct w:val="true"/>
    </w:pPr>
    <w:rPr>
      <w:sz w:val="20"/>
    </w:rPr>
  </w:style>
  <w:style w:type="paragraph" w:styleId="ConsPlusNormal" w:customStyle="1">
    <w:name w:val="ConsPlusNormal"/>
    <w:qFormat/>
    <w:rsid w:val="00520478"/>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Style25">
    <w:name w:val="Содержимое таблицы"/>
    <w:basedOn w:val="Normal"/>
    <w:qFormat/>
    <w:pPr/>
    <w:rPr/>
  </w:style>
  <w:style w:type="paragraph" w:styleId="Style26">
    <w:name w:val="Заголовок таблицы"/>
    <w:basedOn w:val="Normal"/>
    <w:qFormat/>
    <w:pPr>
      <w:suppressLineNumbers/>
      <w:jc w:val="center"/>
    </w:pPr>
    <w:rPr>
      <w:b/>
      <w:bCs/>
    </w:rPr>
  </w:style>
  <w:style w:type="paragraph" w:styleId="211">
    <w:name w:val="Основной текст 21"/>
    <w:basedOn w:val="Normal"/>
    <w:qFormat/>
    <w:pPr>
      <w:widowControl w:val="false"/>
      <w:shd w:val="clear" w:color="auto" w:fill="FFFFFF"/>
      <w:spacing w:lineRule="exact" w:line="322"/>
      <w:jc w:val="both"/>
    </w:pPr>
    <w:rPr>
      <w:color w:val="000000"/>
      <w:spacing w:val="2"/>
      <w:sz w:val="29"/>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pravo.minjust.ru/" TargetMode="External"/><Relationship Id="rId4" Type="http://schemas.openxmlformats.org/officeDocument/2006/relationships/hyperlink" Target="http://pravo.minjust.ru/" TargetMode="External"/><Relationship Id="rId5" Type="http://schemas.openxmlformats.org/officeDocument/2006/relationships/hyperlink" Target="consultantplus://offline/ref=8AAD9A8E5741B6C30B02F29BBDF66B0CDF849BA2090A4D89F0E8126BD7FC77BF55619967F5E8CA442E9857E252C84CF66CF0430063CD2491e5oBK" TargetMode="External"/><Relationship Id="rId6" Type="http://schemas.openxmlformats.org/officeDocument/2006/relationships/hyperlink" Target="consultantplus://offline/ref=8AAD9A8E5741B6C30B02F29BBDF66B0CDF849BA2090A4D89F0E8126BD7FC77BF55619967F5E8C8412F9857E252C84CF66CF0430063CD2491e5oBK" TargetMode="External"/><Relationship Id="rId7" Type="http://schemas.openxmlformats.org/officeDocument/2006/relationships/hyperlink" Target="consultantplus://offline/ref=8AAD9A8E5741B6C30B02F29BBDF66B0CDF849BA2090A4D89F0E8126BD7FC77BF55619967F5E8C842269857E252C84CF66CF0430063CD2491e5oBK" TargetMode="External"/><Relationship Id="rId8" Type="http://schemas.openxmlformats.org/officeDocument/2006/relationships/hyperlink" Target="https://login.consultant.ru/link/?req=doc&amp;base=RZR&amp;n=349045&amp;date=09.12.2020&amp;dst=100022&amp;fld=134" TargetMode="External"/><Relationship Id="rId9" Type="http://schemas.openxmlformats.org/officeDocument/2006/relationships/hyperlink" Target="consultantplus://offline/ref=84E8A887291C82E267D3FE4021D0A8E87B80B7D50535CCC43EA368C02E1CDB2943DBA752EA76B497450EA2BE749DB8B849D436D5009E2321G623I" TargetMode="External"/><Relationship Id="rId10" Type="http://schemas.openxmlformats.org/officeDocument/2006/relationships/hyperlink" Target="consultantplus://offline/ref=84E8A887291C82E267D3FE4021D0A8E87B80B7D50535CCC43EA368C02E1CDB2943DBA752EA76B497460EA2BE749DB8B849D436D5009E2321G623I" TargetMode="External"/><Relationship Id="rId11" Type="http://schemas.openxmlformats.org/officeDocument/2006/relationships/hyperlink" Target="consultantplus://offline/ref=84E8A887291C82E267D3FE4021D0A8E87B80B7D50535CCC43EA368C02E1CDB2943DBA752EA76B497460EA2BE749DB8B849D436D5009E2321G623I" TargetMode="External"/><Relationship Id="rId12" Type="http://schemas.openxmlformats.org/officeDocument/2006/relationships/hyperlink" Target="consultantplus://offline/ref=84E8A887291C82E267D3FE4021D0A8E87B80B7D50535CCC43EA368C02E1CDB2943DBA752EA76B496400EA2BE749DB8B849D436D5009E2321G623I" TargetMode="External"/><Relationship Id="rId13" Type="http://schemas.openxmlformats.org/officeDocument/2006/relationships/hyperlink" Target="consultantplus://offline/ref=84E8A887291C82E267D3FE4021D0A8E87B80B7D50535CCC43EA368C02E1CDB2943DBA752EA76B496410EA2BE749DB8B849D436D5009E2321G623I" TargetMode="External"/><Relationship Id="rId14" Type="http://schemas.openxmlformats.org/officeDocument/2006/relationships/hyperlink" Target="consultantplus://offline/ref=84E8A887291C82E267D3FE4021D0A8E87B80B7D50535CCC43EA368C02E1CDB2943DBA752EA76B497460EA2BE749DB8B849D436D5009E2321G623I" TargetMode="External"/><Relationship Id="rId15" Type="http://schemas.openxmlformats.org/officeDocument/2006/relationships/hyperlink" Target="consultantplus://offline/ref=84E8A887291C82E267D3FE4021D0A8E87B81BAD30836CCC43EA368C02E1CDB2943DBA752EA77B691470EA2BE749DB8B849D436D5009E2321G623I" TargetMode="External"/><Relationship Id="rId16" Type="http://schemas.openxmlformats.org/officeDocument/2006/relationships/hyperlink" Target="consultantplus://offline/ref=CF65F3260FC4B1CEF371043E105849B40D72DEF60C059824A0933070C76166DD92B42467E4AC12D18FA00834F22AF436ECCA86FFB66B420Dq8N7I" TargetMode="External"/><Relationship Id="rId17" Type="http://schemas.openxmlformats.org/officeDocument/2006/relationships/hyperlink" Target="consultantplus://offline/ref=CF65F3260FC4B1CEF371043E105849B40D72DEF60C059824A0933070C76166DD92B42467E4AC12D78BA00834F22AF436ECCA86FFB66B420Dq8N7I" TargetMode="Externa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XXJ7TYMEEKJ2-2605-445</_dlc_DocId>
    <_dlc_DocIdUrl xmlns="57504d04-691e-4fc4-8f09-4f19fdbe90f6">
      <Url>https://vip.gov.mari.ru/orshanka/_layouts/DocIdRedir.aspx?ID=XXJ7TYMEEKJ2-2605-445</Url>
      <Description>XXJ7TYMEEKJ2-2605-445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71193CA22A6EB3409C6F394FCDF71189" ma:contentTypeVersion="0" ma:contentTypeDescription="Создание документа." ma:contentTypeScope="" ma:versionID="57739762b31fbc3eee10a7f0678961d4">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A6139-55A6-4C53-9999-FF1F91D2F4E4}">
  <ds:schemaRefs>
    <ds:schemaRef ds:uri="http://schemas.openxmlformats.org/package/2006/metadata/core-properties"/>
    <ds:schemaRef ds:uri="http://schemas.microsoft.com/office/2006/metadata/properties"/>
    <ds:schemaRef ds:uri="57504d04-691e-4fc4-8f09-4f19fdbe90f6"/>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C8D3AE8F-284A-418E-B086-76B458365405}">
  <ds:schemaRefs>
    <ds:schemaRef ds:uri="http://schemas.microsoft.com/sharepoint/events"/>
  </ds:schemaRefs>
</ds:datastoreItem>
</file>

<file path=customXml/itemProps3.xml><?xml version="1.0" encoding="utf-8"?>
<ds:datastoreItem xmlns:ds="http://schemas.openxmlformats.org/officeDocument/2006/customXml" ds:itemID="{C8B377A9-EB3C-49EC-BC56-2EC53D76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7B8AB3-5503-4234-8045-884027D8C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Application>LibreOffice/7.5.7.1$Windows_X86_64 LibreOffice_project/47eb0cf7efbacdee9b19ae25d6752381ede23126</Application>
  <AppVersion>15.0000</AppVersion>
  <Pages>14</Pages>
  <Words>3853</Words>
  <Characters>27366</Characters>
  <CharactersWithSpaces>31209</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2024-04-18T06:55:00Z</dcterms:created>
  <dc:creator>МАРИЯ_ИВАНОВНА</dc:creator>
  <dc:description/>
  <dc:language>ru-RU</dc:language>
  <cp:lastModifiedBy/>
  <cp:lastPrinted>2024-05-27T14:15:26Z</cp:lastPrinted>
  <dcterms:modified xsi:type="dcterms:W3CDTF">2024-05-27T14:18:47Z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0x01010071193CA22A6EB3409C6F394FCDF71189</vt:lpwstr>
  </property>
  <property fmtid="{D5CDD505-2E9C-101B-9397-08002B2CF9AE}" pid="3" name="_dlc_DocIdItemGuid">
    <vt:lpwstr>1721c244-55d9-4980-9967-9f08fd80f68b</vt:lpwstr>
  </property>
</Properties>
</file>